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32"/>
        <w:keepNext w:val="true"/>
        <w:numPr>
          <w:ilvl w:val="7"/>
          <w:numId w:val="3"/>
        </w:numPr>
        <w:spacing w:before="480" w:after="360"/>
        <w:jc w:val="center"/>
        <w:rPr>
          <w:b/>
          <w:caps/>
          <w:lang w:eastAsia="ru-RU"/>
        </w:rPr>
      </w:pPr>
      <w:r>
        <w:rPr>
          <w:b/>
          <w:caps/>
          <w:lang w:eastAsia="ru-RU"/>
        </w:rPr>
        <w:t>критерии оценки</w:t>
      </w:r>
    </w:p>
    <w:p>
      <w:pPr>
        <w:pStyle w:val="32"/>
        <w:numPr>
          <w:ilvl w:val="7"/>
          <w:numId w:val="3"/>
        </w:numPr>
        <w:rPr>
          <w:rFonts w:eastAsia="Calibri"/>
          <w:b/>
          <w:lang w:eastAsia="ru-RU"/>
        </w:rPr>
      </w:pPr>
      <w:r>
        <w:rPr>
          <w:lang w:eastAsia="ru-RU"/>
        </w:rPr>
        <w:t>Наименование предмета закупки в соответствии с планом закупки:</w:t>
        <w:tab/>
      </w:r>
      <w:r>
        <w:rPr>
          <w:b/>
          <w:lang w:eastAsia="ru-RU"/>
        </w:rPr>
        <w:t>ОКПД2 43.11.10.000 - Демонтаж насосной хозфекальной №1 филиала ПАО «РусГидро» — «Волжская ГЭС им. Ф.Г. Логинова»</w:t>
      </w:r>
    </w:p>
    <w:p>
      <w:pPr>
        <w:pStyle w:val="32"/>
        <w:numPr>
          <w:ilvl w:val="7"/>
          <w:numId w:val="3"/>
        </w:numPr>
        <w:rPr>
          <w:lang w:eastAsia="ru-RU"/>
        </w:rPr>
      </w:pPr>
      <w:r>
        <w:rPr>
          <w:lang w:eastAsia="ru-RU"/>
        </w:rPr>
        <w:t xml:space="preserve">Номер лота закупки в соответствии с планом закупки: </w:t>
      </w:r>
      <w:r>
        <w:rPr>
          <w:b/>
        </w:rPr>
        <w:t>0027-КОРП ДКУ-2026-ВолГЭС</w:t>
      </w:r>
    </w:p>
    <w:p>
      <w:pPr>
        <w:pStyle w:val="32"/>
        <w:numPr>
          <w:ilvl w:val="7"/>
          <w:numId w:val="3"/>
        </w:numPr>
        <w:rPr>
          <w:lang w:eastAsia="ru-RU"/>
        </w:rPr>
      </w:pPr>
      <w:r>
        <w:rPr>
          <w:lang w:eastAsia="ru-RU"/>
        </w:rPr>
        <w:t>Начальная (максимальная) цена договора:</w:t>
        <w:tab/>
      </w:r>
      <w:r>
        <w:rPr>
          <w:b/>
          <w:szCs w:val="26"/>
        </w:rPr>
        <w:t>5 700 760,12</w:t>
      </w:r>
      <w:r>
        <w:rPr>
          <w:b/>
        </w:rPr>
        <w:t xml:space="preserve"> руб., без учета НДС</w:t>
      </w:r>
    </w:p>
    <w:p>
      <w:pPr>
        <w:pStyle w:val="32"/>
        <w:numPr>
          <w:ilvl w:val="7"/>
          <w:numId w:val="3"/>
        </w:numPr>
        <w:rPr>
          <w:b/>
          <w:caps/>
          <w:lang w:eastAsia="ru-RU"/>
        </w:rPr>
      </w:pPr>
      <w:r>
        <w:rPr>
          <w:lang w:eastAsia="ru-RU"/>
        </w:rPr>
        <w:t>Наименование структурного подразделения Заказчика:</w:t>
        <w:tab/>
        <w:t xml:space="preserve"> </w:t>
      </w:r>
      <w:r>
        <w:rPr>
          <w:b/>
          <w:bCs/>
          <w:lang w:eastAsia="ru-RU"/>
        </w:rPr>
        <w:t>Группа ГТС и ПЗ ПТС</w:t>
      </w:r>
    </w:p>
    <w:tbl>
      <w:tblPr>
        <w:tblStyle w:val="afff0"/>
        <w:tblpPr w:bottomFromText="0" w:horzAnchor="text" w:leftFromText="180" w:rightFromText="180" w:tblpX="0" w:tblpXSpec="right" w:tblpY="1" w:topFromText="0" w:vertAnchor="text"/>
        <w:tblW w:w="15014" w:type="dxa"/>
        <w:jc w:val="right"/>
        <w:tblInd w:w="0" w:type="dxa"/>
        <w:tblLayout w:type="fixed"/>
        <w:tblCellMar>
          <w:top w:w="0" w:type="dxa"/>
          <w:left w:w="108" w:type="dxa"/>
          <w:bottom w:w="0" w:type="dxa"/>
          <w:right w:w="108" w:type="dxa"/>
        </w:tblCellMar>
        <w:tblLook w:val="04a0" w:noHBand="0" w:noVBand="1" w:firstColumn="1" w:lastRow="0" w:lastColumn="0" w:firstRow="1"/>
      </w:tblPr>
      <w:tblGrid>
        <w:gridCol w:w="1100"/>
        <w:gridCol w:w="1417"/>
        <w:gridCol w:w="1419"/>
        <w:gridCol w:w="1416"/>
        <w:gridCol w:w="1135"/>
        <w:gridCol w:w="1842"/>
        <w:gridCol w:w="6684"/>
      </w:tblGrid>
      <w:tr>
        <w:trPr>
          <w:cantSplit w:val="true"/>
        </w:trPr>
        <w:tc>
          <w:tcPr>
            <w:tcW w:w="1100" w:type="dxa"/>
            <w:vMerge w:val="restart"/>
            <w:tcBorders/>
            <w:shd w:color="auto" w:fill="C6D9F1" w:themeFill="text2" w:themeFillTint="33" w:val="clear"/>
          </w:tcPr>
          <w:p>
            <w:pPr>
              <w:pStyle w:val="32"/>
              <w:keepNext w:val="true"/>
              <w:widowControl w:val="false"/>
              <w:numPr>
                <w:ilvl w:val="7"/>
                <w:numId w:val="3"/>
              </w:numPr>
              <w:suppressAutoHyphens w:val="true"/>
              <w:spacing w:lineRule="auto" w:line="240" w:before="40" w:after="40"/>
              <w:jc w:val="center"/>
              <w:rPr>
                <w:sz w:val="18"/>
                <w:szCs w:val="18"/>
                <w:lang w:eastAsia="ru-RU"/>
              </w:rPr>
            </w:pPr>
            <w:r>
              <w:rPr>
                <w:rFonts w:cs="Times New Roman"/>
                <w:kern w:val="0"/>
                <w:sz w:val="18"/>
                <w:szCs w:val="18"/>
                <w:lang w:val="ru-RU" w:eastAsia="ru-RU" w:bidi="ar-SA"/>
              </w:rPr>
              <w:t>Номер критерия оценки в структуре</w:t>
            </w:r>
          </w:p>
        </w:tc>
        <w:tc>
          <w:tcPr>
            <w:tcW w:w="1417" w:type="dxa"/>
            <w:vMerge w:val="restart"/>
            <w:tcBorders/>
            <w:shd w:color="auto" w:fill="C6D9F1" w:themeFill="text2" w:themeFillTint="33" w:val="clear"/>
          </w:tcPr>
          <w:p>
            <w:pPr>
              <w:pStyle w:val="32"/>
              <w:keepNext w:val="true"/>
              <w:widowControl w:val="false"/>
              <w:numPr>
                <w:ilvl w:val="7"/>
                <w:numId w:val="3"/>
              </w:numPr>
              <w:suppressAutoHyphens w:val="true"/>
              <w:spacing w:lineRule="auto" w:line="240" w:before="40" w:after="40"/>
              <w:jc w:val="center"/>
              <w:rPr>
                <w:sz w:val="18"/>
                <w:szCs w:val="18"/>
                <w:lang w:eastAsia="ru-RU"/>
              </w:rPr>
            </w:pPr>
            <w:r>
              <w:rPr>
                <w:rFonts w:cs="Times New Roman"/>
                <w:bCs/>
                <w:kern w:val="0"/>
                <w:sz w:val="20"/>
                <w:szCs w:val="20"/>
                <w:lang w:val="ru-RU" w:bidi="ar-SA"/>
              </w:rPr>
              <w:t>Направление оценки заявок</w:t>
            </w:r>
          </w:p>
        </w:tc>
        <w:tc>
          <w:tcPr>
            <w:tcW w:w="2835" w:type="dxa"/>
            <w:gridSpan w:val="2"/>
            <w:tcBorders/>
            <w:shd w:color="auto" w:fill="C6D9F1" w:themeFill="text2" w:themeFillTint="33" w:val="clear"/>
          </w:tcPr>
          <w:p>
            <w:pPr>
              <w:pStyle w:val="32"/>
              <w:keepNext w:val="true"/>
              <w:widowControl w:val="false"/>
              <w:numPr>
                <w:ilvl w:val="7"/>
                <w:numId w:val="3"/>
              </w:numPr>
              <w:suppressAutoHyphens w:val="true"/>
              <w:spacing w:lineRule="auto" w:line="240" w:before="40" w:after="40"/>
              <w:jc w:val="center"/>
              <w:rPr>
                <w:sz w:val="18"/>
                <w:szCs w:val="18"/>
                <w:lang w:eastAsia="ru-RU"/>
              </w:rPr>
            </w:pPr>
            <w:r>
              <w:rPr>
                <w:rFonts w:cs="Times New Roman"/>
                <w:kern w:val="0"/>
                <w:sz w:val="18"/>
                <w:szCs w:val="18"/>
                <w:lang w:val="ru-RU" w:eastAsia="ru-RU" w:bidi="ar-SA"/>
              </w:rPr>
              <w:t>Наименование критерия оценки</w:t>
            </w:r>
          </w:p>
        </w:tc>
        <w:tc>
          <w:tcPr>
            <w:tcW w:w="1135" w:type="dxa"/>
            <w:vMerge w:val="restart"/>
            <w:tcBorders/>
            <w:shd w:color="auto" w:fill="C6D9F1" w:themeFill="text2" w:themeFillTint="33" w:val="clear"/>
          </w:tcPr>
          <w:p>
            <w:pPr>
              <w:pStyle w:val="32"/>
              <w:keepNext w:val="true"/>
              <w:widowControl w:val="false"/>
              <w:numPr>
                <w:ilvl w:val="7"/>
                <w:numId w:val="3"/>
              </w:numPr>
              <w:suppressAutoHyphens w:val="true"/>
              <w:spacing w:lineRule="auto" w:line="240" w:before="40" w:after="40"/>
              <w:jc w:val="center"/>
              <w:rPr>
                <w:sz w:val="18"/>
                <w:szCs w:val="18"/>
                <w:lang w:eastAsia="ru-RU"/>
              </w:rPr>
            </w:pPr>
            <w:r>
              <w:rPr>
                <w:rFonts w:cs="Times New Roman"/>
                <w:kern w:val="0"/>
                <w:sz w:val="18"/>
                <w:szCs w:val="18"/>
                <w:lang w:val="ru-RU" w:eastAsia="ru-RU" w:bidi="ar-SA"/>
              </w:rPr>
              <w:t>Значимость критерия оценки</w:t>
            </w:r>
          </w:p>
        </w:tc>
        <w:tc>
          <w:tcPr>
            <w:tcW w:w="1842" w:type="dxa"/>
            <w:vMerge w:val="restart"/>
            <w:tcBorders/>
            <w:shd w:color="auto" w:fill="C6D9F1" w:themeFill="text2" w:themeFillTint="33" w:val="clear"/>
          </w:tcPr>
          <w:p>
            <w:pPr>
              <w:pStyle w:val="32"/>
              <w:keepNext w:val="true"/>
              <w:widowControl w:val="false"/>
              <w:numPr>
                <w:ilvl w:val="7"/>
                <w:numId w:val="3"/>
              </w:numPr>
              <w:suppressAutoHyphens w:val="true"/>
              <w:spacing w:lineRule="auto" w:line="240" w:before="40" w:after="40"/>
              <w:jc w:val="center"/>
              <w:rPr>
                <w:sz w:val="18"/>
                <w:szCs w:val="18"/>
                <w:lang w:eastAsia="ru-RU"/>
              </w:rPr>
            </w:pPr>
            <w:r>
              <w:rPr>
                <w:rFonts w:cs="Times New Roman"/>
                <w:kern w:val="0"/>
                <w:sz w:val="18"/>
                <w:szCs w:val="18"/>
                <w:lang w:val="ru-RU" w:eastAsia="ru-RU" w:bidi="ar-SA"/>
              </w:rPr>
              <w:t>Содержание частного критерия оценки</w:t>
            </w:r>
          </w:p>
        </w:tc>
        <w:tc>
          <w:tcPr>
            <w:tcW w:w="6684" w:type="dxa"/>
            <w:vMerge w:val="restart"/>
            <w:tcBorders/>
            <w:shd w:color="auto" w:fill="C6D9F1" w:themeFill="text2" w:themeFillTint="33" w:val="clear"/>
          </w:tcPr>
          <w:p>
            <w:pPr>
              <w:pStyle w:val="32"/>
              <w:keepNext w:val="true"/>
              <w:widowControl w:val="false"/>
              <w:numPr>
                <w:ilvl w:val="7"/>
                <w:numId w:val="3"/>
              </w:numPr>
              <w:suppressAutoHyphens w:val="true"/>
              <w:spacing w:lineRule="auto" w:line="240" w:before="40" w:after="40"/>
              <w:jc w:val="center"/>
              <w:rPr>
                <w:sz w:val="18"/>
                <w:szCs w:val="18"/>
                <w:lang w:eastAsia="ru-RU"/>
              </w:rPr>
            </w:pPr>
            <w:r>
              <w:rPr>
                <w:rFonts w:cs="Times New Roman"/>
                <w:kern w:val="0"/>
                <w:sz w:val="18"/>
                <w:szCs w:val="18"/>
                <w:lang w:val="ru-RU" w:eastAsia="ru-RU" w:bidi="ar-SA"/>
              </w:rPr>
              <w:t>Расчет оценки предпочтительности заявки</w:t>
            </w:r>
          </w:p>
        </w:tc>
      </w:tr>
      <w:tr>
        <w:trPr>
          <w:cantSplit w:val="true"/>
        </w:trPr>
        <w:tc>
          <w:tcPr>
            <w:tcW w:w="1100" w:type="dxa"/>
            <w:vMerge w:val="continue"/>
            <w:tcBorders/>
            <w:shd w:color="auto" w:fill="C6D9F1" w:themeFill="text2" w:themeFillTint="33" w:val="clear"/>
          </w:tcPr>
          <w:p>
            <w:pPr>
              <w:pStyle w:val="32"/>
              <w:keepNext w:val="true"/>
              <w:widowControl w:val="false"/>
              <w:numPr>
                <w:ilvl w:val="0"/>
                <w:numId w:val="0"/>
              </w:numPr>
              <w:suppressAutoHyphens w:val="true"/>
              <w:spacing w:lineRule="auto" w:line="240" w:before="40" w:after="40"/>
              <w:ind w:left="0" w:hanging="0"/>
              <w:jc w:val="center"/>
              <w:rPr>
                <w:sz w:val="18"/>
                <w:szCs w:val="18"/>
                <w:highlight w:val="yellow"/>
                <w:lang w:eastAsia="ru-RU"/>
              </w:rPr>
            </w:pPr>
            <w:r>
              <w:rPr>
                <w:rFonts w:cs="Times New Roman"/>
                <w:kern w:val="0"/>
                <w:sz w:val="18"/>
                <w:szCs w:val="18"/>
                <w:highlight w:val="yellow"/>
                <w:lang w:val="ru-RU" w:eastAsia="ru-RU" w:bidi="ar-SA"/>
              </w:rPr>
            </w:r>
          </w:p>
        </w:tc>
        <w:tc>
          <w:tcPr>
            <w:tcW w:w="1417" w:type="dxa"/>
            <w:vMerge w:val="continue"/>
            <w:tcBorders/>
            <w:shd w:color="auto" w:fill="C6D9F1" w:themeFill="text2" w:themeFillTint="33" w:val="clear"/>
          </w:tcPr>
          <w:p>
            <w:pPr>
              <w:pStyle w:val="32"/>
              <w:keepNext w:val="true"/>
              <w:widowControl w:val="false"/>
              <w:numPr>
                <w:ilvl w:val="0"/>
                <w:numId w:val="0"/>
              </w:numPr>
              <w:suppressAutoHyphens w:val="true"/>
              <w:spacing w:lineRule="auto" w:line="240" w:before="40" w:after="40"/>
              <w:ind w:left="0" w:hanging="0"/>
              <w:jc w:val="center"/>
              <w:rPr>
                <w:sz w:val="18"/>
                <w:szCs w:val="18"/>
                <w:highlight w:val="yellow"/>
                <w:lang w:eastAsia="ru-RU"/>
              </w:rPr>
            </w:pPr>
            <w:r>
              <w:rPr>
                <w:rFonts w:cs="Times New Roman"/>
                <w:kern w:val="0"/>
                <w:sz w:val="18"/>
                <w:szCs w:val="18"/>
                <w:highlight w:val="yellow"/>
                <w:lang w:val="ru-RU" w:eastAsia="ru-RU" w:bidi="ar-SA"/>
              </w:rPr>
            </w:r>
          </w:p>
        </w:tc>
        <w:tc>
          <w:tcPr>
            <w:tcW w:w="1419" w:type="dxa"/>
            <w:tcBorders/>
            <w:shd w:color="auto" w:fill="C6D9F1" w:themeFill="text2" w:themeFillTint="33" w:val="clear"/>
          </w:tcPr>
          <w:p>
            <w:pPr>
              <w:pStyle w:val="32"/>
              <w:keepNext w:val="true"/>
              <w:widowControl w:val="false"/>
              <w:numPr>
                <w:ilvl w:val="7"/>
                <w:numId w:val="3"/>
              </w:numPr>
              <w:suppressAutoHyphens w:val="true"/>
              <w:spacing w:lineRule="auto" w:line="240" w:before="40" w:after="40"/>
              <w:jc w:val="center"/>
              <w:rPr>
                <w:sz w:val="18"/>
                <w:szCs w:val="18"/>
                <w:lang w:eastAsia="ru-RU"/>
              </w:rPr>
            </w:pPr>
            <w:r>
              <w:rPr>
                <w:rFonts w:cs="Times New Roman"/>
                <w:kern w:val="0"/>
                <w:sz w:val="18"/>
                <w:szCs w:val="18"/>
                <w:lang w:val="ru-RU" w:eastAsia="ru-RU" w:bidi="ar-SA"/>
              </w:rPr>
              <w:t>критерий оценки первого уровня</w:t>
            </w:r>
          </w:p>
        </w:tc>
        <w:tc>
          <w:tcPr>
            <w:tcW w:w="1416" w:type="dxa"/>
            <w:tcBorders/>
            <w:shd w:color="auto" w:fill="C6D9F1" w:themeFill="text2" w:themeFillTint="33" w:val="clear"/>
          </w:tcPr>
          <w:p>
            <w:pPr>
              <w:pStyle w:val="32"/>
              <w:keepNext w:val="true"/>
              <w:widowControl w:val="false"/>
              <w:numPr>
                <w:ilvl w:val="7"/>
                <w:numId w:val="3"/>
              </w:numPr>
              <w:suppressAutoHyphens w:val="true"/>
              <w:spacing w:lineRule="auto" w:line="240" w:before="40" w:after="40"/>
              <w:jc w:val="center"/>
              <w:rPr>
                <w:sz w:val="18"/>
                <w:szCs w:val="18"/>
                <w:lang w:eastAsia="ru-RU"/>
              </w:rPr>
            </w:pPr>
            <w:r>
              <w:rPr>
                <w:rFonts w:cs="Times New Roman"/>
                <w:kern w:val="0"/>
                <w:sz w:val="18"/>
                <w:szCs w:val="18"/>
                <w:lang w:val="ru-RU" w:eastAsia="ru-RU" w:bidi="ar-SA"/>
              </w:rPr>
              <w:t>критерий оценки второго уровня</w:t>
            </w:r>
          </w:p>
        </w:tc>
        <w:tc>
          <w:tcPr>
            <w:tcW w:w="1135" w:type="dxa"/>
            <w:vMerge w:val="continue"/>
            <w:tcBorders/>
            <w:shd w:color="auto" w:fill="C6D9F1" w:themeFill="text2" w:themeFillTint="33" w:val="clear"/>
          </w:tcPr>
          <w:p>
            <w:pPr>
              <w:pStyle w:val="32"/>
              <w:keepNext w:val="true"/>
              <w:widowControl w:val="false"/>
              <w:numPr>
                <w:ilvl w:val="0"/>
                <w:numId w:val="0"/>
              </w:numPr>
              <w:suppressAutoHyphens w:val="true"/>
              <w:spacing w:lineRule="auto" w:line="240" w:before="40" w:after="40"/>
              <w:ind w:left="0" w:hanging="0"/>
              <w:jc w:val="center"/>
              <w:rPr>
                <w:sz w:val="18"/>
                <w:szCs w:val="18"/>
                <w:highlight w:val="yellow"/>
                <w:lang w:eastAsia="ru-RU"/>
              </w:rPr>
            </w:pPr>
            <w:r>
              <w:rPr>
                <w:rFonts w:cs="Times New Roman"/>
                <w:kern w:val="0"/>
                <w:sz w:val="18"/>
                <w:szCs w:val="18"/>
                <w:highlight w:val="yellow"/>
                <w:lang w:val="ru-RU" w:eastAsia="ru-RU" w:bidi="ar-SA"/>
              </w:rPr>
            </w:r>
          </w:p>
        </w:tc>
        <w:tc>
          <w:tcPr>
            <w:tcW w:w="1842" w:type="dxa"/>
            <w:vMerge w:val="continue"/>
            <w:tcBorders/>
            <w:shd w:color="auto" w:fill="C6D9F1" w:themeFill="text2" w:themeFillTint="33" w:val="clear"/>
          </w:tcPr>
          <w:p>
            <w:pPr>
              <w:pStyle w:val="32"/>
              <w:keepNext w:val="true"/>
              <w:widowControl w:val="false"/>
              <w:numPr>
                <w:ilvl w:val="0"/>
                <w:numId w:val="0"/>
              </w:numPr>
              <w:suppressAutoHyphens w:val="true"/>
              <w:spacing w:lineRule="auto" w:line="240" w:before="40" w:after="40"/>
              <w:ind w:left="0" w:hanging="0"/>
              <w:jc w:val="center"/>
              <w:rPr>
                <w:sz w:val="18"/>
                <w:szCs w:val="18"/>
                <w:highlight w:val="yellow"/>
                <w:lang w:eastAsia="ru-RU"/>
              </w:rPr>
            </w:pPr>
            <w:r>
              <w:rPr>
                <w:rFonts w:cs="Times New Roman"/>
                <w:kern w:val="0"/>
                <w:sz w:val="18"/>
                <w:szCs w:val="18"/>
                <w:highlight w:val="yellow"/>
                <w:lang w:val="ru-RU" w:eastAsia="ru-RU" w:bidi="ar-SA"/>
              </w:rPr>
            </w:r>
          </w:p>
        </w:tc>
        <w:tc>
          <w:tcPr>
            <w:tcW w:w="6684" w:type="dxa"/>
            <w:vMerge w:val="continue"/>
            <w:tcBorders/>
            <w:shd w:color="auto" w:fill="C6D9F1" w:themeFill="text2" w:themeFillTint="33" w:val="clear"/>
          </w:tcPr>
          <w:p>
            <w:pPr>
              <w:pStyle w:val="32"/>
              <w:keepNext w:val="true"/>
              <w:widowControl w:val="false"/>
              <w:numPr>
                <w:ilvl w:val="0"/>
                <w:numId w:val="0"/>
              </w:numPr>
              <w:suppressAutoHyphens w:val="true"/>
              <w:spacing w:lineRule="auto" w:line="240" w:before="40" w:after="40"/>
              <w:ind w:left="0" w:hanging="0"/>
              <w:jc w:val="center"/>
              <w:rPr>
                <w:sz w:val="18"/>
                <w:szCs w:val="18"/>
                <w:highlight w:val="yellow"/>
                <w:lang w:eastAsia="ru-RU"/>
              </w:rPr>
            </w:pPr>
            <w:r>
              <w:rPr>
                <w:rFonts w:cs="Times New Roman"/>
                <w:kern w:val="0"/>
                <w:sz w:val="18"/>
                <w:szCs w:val="18"/>
                <w:highlight w:val="yellow"/>
                <w:lang w:val="ru-RU" w:eastAsia="ru-RU" w:bidi="ar-SA"/>
              </w:rPr>
            </w:r>
          </w:p>
        </w:tc>
      </w:tr>
      <w:tr>
        <w:trPr>
          <w:cantSplit w:val="true"/>
        </w:trPr>
        <w:tc>
          <w:tcPr>
            <w:tcW w:w="1100" w:type="dxa"/>
            <w:tcBorders/>
            <w:shd w:color="auto" w:fill="auto" w:val="clear"/>
          </w:tcPr>
          <w:p>
            <w:pPr>
              <w:pStyle w:val="32"/>
              <w:widowControl w:val="false"/>
              <w:numPr>
                <w:ilvl w:val="7"/>
                <w:numId w:val="6"/>
              </w:numPr>
              <w:suppressAutoHyphens w:val="true"/>
              <w:spacing w:lineRule="auto" w:line="240" w:before="40" w:after="40"/>
              <w:jc w:val="center"/>
              <w:rPr>
                <w:sz w:val="18"/>
                <w:szCs w:val="18"/>
                <w:lang w:eastAsia="ru-RU"/>
              </w:rPr>
            </w:pPr>
            <w:r>
              <w:rPr>
                <w:rFonts w:cs="Times New Roman"/>
                <w:kern w:val="0"/>
                <w:sz w:val="18"/>
                <w:szCs w:val="18"/>
                <w:lang w:val="ru-RU" w:eastAsia="ru-RU" w:bidi="ar-SA"/>
              </w:rPr>
              <w:t>1.</w:t>
            </w:r>
          </w:p>
        </w:tc>
        <w:tc>
          <w:tcPr>
            <w:tcW w:w="1417" w:type="dxa"/>
            <w:tcBorders/>
            <w:shd w:color="auto" w:fill="auto" w:val="clear"/>
          </w:tcPr>
          <w:p>
            <w:pPr>
              <w:pStyle w:val="32"/>
              <w:widowControl w:val="false"/>
              <w:numPr>
                <w:ilvl w:val="7"/>
                <w:numId w:val="6"/>
              </w:numPr>
              <w:suppressAutoHyphens w:val="true"/>
              <w:spacing w:lineRule="auto" w:line="240" w:before="40" w:after="40"/>
              <w:jc w:val="center"/>
              <w:rPr>
                <w:sz w:val="18"/>
                <w:szCs w:val="18"/>
                <w:lang w:eastAsia="ru-RU"/>
              </w:rPr>
            </w:pPr>
            <w:r>
              <w:rPr>
                <w:rFonts w:cs="Times New Roman"/>
                <w:kern w:val="0"/>
                <w:sz w:val="18"/>
                <w:szCs w:val="18"/>
                <w:lang w:val="ru-RU" w:eastAsia="ru-RU" w:bidi="ar-SA"/>
              </w:rPr>
              <w:t>ЦЕНА</w:t>
            </w:r>
          </w:p>
        </w:tc>
        <w:tc>
          <w:tcPr>
            <w:tcW w:w="1419" w:type="dxa"/>
            <w:tcBorders/>
            <w:shd w:color="auto" w:fill="auto" w:val="clear"/>
          </w:tcPr>
          <w:p>
            <w:pPr>
              <w:pStyle w:val="32"/>
              <w:widowControl w:val="false"/>
              <w:numPr>
                <w:ilvl w:val="7"/>
                <w:numId w:val="6"/>
              </w:numPr>
              <w:suppressAutoHyphens w:val="true"/>
              <w:spacing w:lineRule="auto" w:line="240" w:before="40" w:after="40"/>
              <w:jc w:val="center"/>
              <w:rPr>
                <w:sz w:val="18"/>
                <w:szCs w:val="18"/>
                <w:lang w:eastAsia="ru-RU"/>
              </w:rPr>
            </w:pPr>
            <w:r>
              <w:rPr>
                <w:rFonts w:cs="Times New Roman"/>
                <w:kern w:val="0"/>
                <w:sz w:val="18"/>
                <w:szCs w:val="18"/>
                <w:lang w:val="ru-RU" w:eastAsia="ru-RU" w:bidi="ar-SA"/>
              </w:rPr>
              <w:t>Цена договора</w:t>
            </w:r>
          </w:p>
        </w:tc>
        <w:tc>
          <w:tcPr>
            <w:tcW w:w="1416" w:type="dxa"/>
            <w:tcBorders/>
            <w:shd w:color="auto" w:fill="auto" w:val="clear"/>
          </w:tcPr>
          <w:p>
            <w:pPr>
              <w:pStyle w:val="32"/>
              <w:widowControl w:val="false"/>
              <w:numPr>
                <w:ilvl w:val="7"/>
                <w:numId w:val="6"/>
              </w:numPr>
              <w:suppressAutoHyphens w:val="true"/>
              <w:spacing w:lineRule="auto" w:line="240" w:before="40" w:after="40"/>
              <w:jc w:val="center"/>
              <w:rPr>
                <w:i/>
                <w:i/>
                <w:sz w:val="18"/>
                <w:szCs w:val="18"/>
                <w:lang w:eastAsia="ru-RU"/>
              </w:rPr>
            </w:pPr>
            <w:r>
              <w:rPr>
                <w:rFonts w:cs="Times New Roman"/>
                <w:i/>
                <w:kern w:val="0"/>
                <w:sz w:val="18"/>
                <w:szCs w:val="18"/>
                <w:lang w:val="ru-RU" w:eastAsia="ru-RU" w:bidi="ar-SA"/>
              </w:rPr>
              <w:t>отсутствует</w:t>
            </w:r>
          </w:p>
        </w:tc>
        <w:tc>
          <w:tcPr>
            <w:tcW w:w="1135" w:type="dxa"/>
            <w:tcBorders/>
            <w:shd w:color="auto" w:fill="auto" w:val="clear"/>
          </w:tcPr>
          <w:p>
            <w:pPr>
              <w:pStyle w:val="32"/>
              <w:widowControl w:val="false"/>
              <w:numPr>
                <w:ilvl w:val="7"/>
                <w:numId w:val="6"/>
              </w:numPr>
              <w:suppressAutoHyphens w:val="true"/>
              <w:spacing w:lineRule="auto" w:line="240" w:before="40" w:after="40"/>
              <w:jc w:val="center"/>
              <w:rPr>
                <w:sz w:val="18"/>
                <w:szCs w:val="18"/>
                <w:lang w:eastAsia="ru-RU"/>
              </w:rPr>
            </w:pPr>
            <w:r>
              <w:rPr>
                <w:rFonts w:cs="Times New Roman"/>
                <w:kern w:val="0"/>
                <w:sz w:val="18"/>
                <w:szCs w:val="18"/>
                <w:lang w:val="en-US" w:eastAsia="ru-RU" w:bidi="ar-SA"/>
              </w:rPr>
              <w:t>85</w:t>
            </w:r>
            <w:r>
              <w:rPr>
                <w:rFonts w:cs="Times New Roman"/>
                <w:kern w:val="0"/>
                <w:sz w:val="18"/>
                <w:szCs w:val="18"/>
                <w:lang w:val="ru-RU" w:eastAsia="ru-RU" w:bidi="ar-SA"/>
              </w:rPr>
              <w:t>%</w:t>
              <w:br/>
              <w:t>(В</w:t>
            </w:r>
            <w:r>
              <w:rPr>
                <w:rFonts w:cs="Times New Roman"/>
                <w:kern w:val="0"/>
                <w:sz w:val="18"/>
                <w:szCs w:val="18"/>
                <w:vertAlign w:val="subscript"/>
                <w:lang w:val="ru-RU" w:eastAsia="ru-RU" w:bidi="ar-SA"/>
              </w:rPr>
              <w:t>1</w:t>
            </w:r>
            <w:r>
              <w:rPr>
                <w:rFonts w:cs="Times New Roman"/>
                <w:kern w:val="0"/>
                <w:sz w:val="18"/>
                <w:szCs w:val="18"/>
                <w:lang w:val="ru-RU" w:eastAsia="ru-RU" w:bidi="ar-SA"/>
              </w:rPr>
              <w:t xml:space="preserve"> = 0,85)</w:t>
            </w:r>
          </w:p>
        </w:tc>
        <w:tc>
          <w:tcPr>
            <w:tcW w:w="1842" w:type="dxa"/>
            <w:tcBorders/>
            <w:shd w:color="auto" w:fill="auto" w:val="clear"/>
          </w:tcPr>
          <w:p>
            <w:pPr>
              <w:pStyle w:val="32"/>
              <w:widowControl w:val="false"/>
              <w:numPr>
                <w:ilvl w:val="7"/>
                <w:numId w:val="6"/>
              </w:numPr>
              <w:suppressAutoHyphens w:val="true"/>
              <w:spacing w:lineRule="auto" w:line="240" w:before="40" w:after="40"/>
              <w:jc w:val="center"/>
              <w:rPr>
                <w:sz w:val="18"/>
                <w:szCs w:val="18"/>
                <w:lang w:eastAsia="ru-RU"/>
              </w:rPr>
            </w:pPr>
            <w:r>
              <w:rPr>
                <w:rFonts w:cs="Times New Roman"/>
                <w:kern w:val="0"/>
                <w:sz w:val="18"/>
                <w:szCs w:val="18"/>
                <w:lang w:val="ru-RU" w:eastAsia="ru-RU" w:bidi="ar-SA"/>
              </w:rPr>
              <w:t>Чем меньше цена договора, тем выше предпочтительность</w:t>
            </w:r>
          </w:p>
        </w:tc>
        <w:tc>
          <w:tcPr>
            <w:tcW w:w="6684" w:type="dxa"/>
            <w:tcBorders/>
            <w:shd w:color="auto" w:fill="auto" w:val="clear"/>
          </w:tcPr>
          <w:p>
            <w:pPr>
              <w:pStyle w:val="Normal"/>
              <w:widowControl w:val="false"/>
              <w:suppressAutoHyphens w:val="true"/>
              <w:spacing w:lineRule="auto" w:line="240" w:before="96" w:after="96"/>
              <w:rPr>
                <w:rFonts w:eastAsia="Calibri"/>
                <w:sz w:val="18"/>
                <w:szCs w:val="18"/>
                <w:lang w:eastAsia="ru-RU"/>
              </w:rPr>
            </w:pPr>
            <w:r>
              <w:rPr>
                <w:rFonts w:eastAsia="Calibri" w:cs="Times New Roman"/>
                <w:kern w:val="0"/>
                <w:sz w:val="18"/>
                <w:szCs w:val="18"/>
                <w:lang w:val="ru-RU" w:bidi="ar-SA"/>
              </w:rPr>
              <w:t>Расчет оценки предпочтительности по частному критерию по методу «Математическая формула, задающая «функцию ценности»»:</w:t>
            </w:r>
          </w:p>
          <w:p>
            <w:pPr>
              <w:pStyle w:val="Normal"/>
              <w:widowControl w:val="false"/>
              <w:suppressAutoHyphens w:val="true"/>
              <w:spacing w:lineRule="auto" w:line="240" w:before="96" w:after="96"/>
              <w:jc w:val="center"/>
              <w:rPr>
                <w:rFonts w:eastAsia="Calibri"/>
                <w:sz w:val="18"/>
                <w:szCs w:val="18"/>
              </w:rPr>
            </w:pPr>
            <w:r>
              <w:rPr>
                <w:rFonts w:cs="Times New Roman"/>
                <w:kern w:val="0"/>
                <w:lang w:val="ru-RU" w:bidi="ar-SA"/>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r>
                      <w:rPr>
                        <w:rFonts w:ascii="Cambria Math" w:hAnsi="Cambria Math"/>
                      </w:rPr>
                      <m:t xml:space="preserve">ЦЕНА</m:t>
                    </m:r>
                    <m:r>
                      <w:rPr>
                        <w:rFonts w:ascii="Cambria Math" w:hAnsi="Cambria Math"/>
                      </w:rPr>
                      <m:t xml:space="preserve">min</m:t>
                    </m:r>
                  </m:num>
                  <m:den>
                    <m:r>
                      <w:rPr>
                        <w:rFonts w:ascii="Cambria Math" w:hAnsi="Cambria Math"/>
                      </w:rPr>
                      <m:t xml:space="preserve">ЦЕНА</m:t>
                    </m:r>
                    <m:r>
                      <w:rPr>
                        <w:rFonts w:ascii="Cambria Math" w:hAnsi="Cambria Math"/>
                      </w:rPr>
                      <m:t xml:space="preserve">i</m:t>
                    </m:r>
                  </m:den>
                </m:f>
                <m:r>
                  <w:rPr>
                    <w:rFonts w:ascii="Cambria Math" w:hAnsi="Cambria Math"/>
                  </w:rPr>
                  <m:t xml:space="preserve">×</m:t>
                </m:r>
                <m:r>
                  <w:rPr>
                    <w:rFonts w:ascii="Cambria Math" w:hAnsi="Cambria Math"/>
                  </w:rPr>
                  <m:t xml:space="preserve">Ш</m:t>
                </m:r>
                <m:r>
                  <w:rPr>
                    <w:rFonts w:ascii="Cambria Math" w:hAnsi="Cambria Math"/>
                  </w:rPr>
                  <m:t xml:space="preserve">,</m:t>
                </m:r>
              </m:oMath>
            </m:oMathPara>
          </w:p>
          <w:p>
            <w:pPr>
              <w:pStyle w:val="Normal"/>
              <w:widowControl w:val="false"/>
              <w:suppressAutoHyphens w:val="true"/>
              <w:spacing w:lineRule="auto" w:line="240" w:before="96" w:after="96"/>
              <w:rPr>
                <w:rFonts w:eastAsia="Calibri"/>
                <w:sz w:val="18"/>
                <w:szCs w:val="18"/>
              </w:rPr>
            </w:pPr>
            <w:r>
              <w:rPr>
                <w:rFonts w:eastAsia="Calibri" w:cs="Times New Roman"/>
                <w:kern w:val="0"/>
                <w:sz w:val="18"/>
                <w:szCs w:val="18"/>
                <w:lang w:val="ru-RU" w:bidi="ar-SA"/>
              </w:rPr>
              <w:t>где:</w:t>
            </w:r>
          </w:p>
          <w:p>
            <w:pPr>
              <w:pStyle w:val="Normal"/>
              <w:widowControl w:val="false"/>
              <w:suppressAutoHyphens w:val="true"/>
              <w:spacing w:lineRule="auto" w:line="240" w:before="96" w:after="96"/>
              <w:rPr>
                <w:rFonts w:eastAsia="Calibri"/>
                <w:sz w:val="18"/>
                <w:szCs w:val="18"/>
              </w:rPr>
            </w:pPr>
            <w:r>
              <w:rPr>
                <w:rFonts w:eastAsia="Calibri" w:cs="Times New Roman"/>
                <w:kern w:val="0"/>
                <w:sz w:val="18"/>
                <w:szCs w:val="18"/>
                <w:lang w:val="ru-RU" w:bidi="ar-SA"/>
              </w:rPr>
              <w:t>Б</w:t>
            </w:r>
            <w:r>
              <w:rPr>
                <w:rFonts w:eastAsia="Calibri" w:cs="Times New Roman"/>
                <w:kern w:val="0"/>
                <w:sz w:val="18"/>
                <w:szCs w:val="18"/>
                <w:vertAlign w:val="subscript"/>
                <w:lang w:val="ru-RU" w:bidi="ar-SA"/>
              </w:rPr>
              <w:t>1</w:t>
            </w:r>
            <w:r>
              <w:rPr>
                <w:rFonts w:eastAsia="Calibri" w:cs="Times New Roman"/>
                <w:kern w:val="0"/>
                <w:sz w:val="18"/>
                <w:szCs w:val="18"/>
                <w:lang w:val="ru-RU" w:bidi="ar-SA"/>
              </w:rPr>
              <w:t xml:space="preserve"> – рассчитанная оценка предпочтительности по частному критерию оценки в баллах;</w:t>
            </w:r>
          </w:p>
          <w:p>
            <w:pPr>
              <w:pStyle w:val="Normal"/>
              <w:widowControl w:val="false"/>
              <w:suppressAutoHyphens w:val="true"/>
              <w:spacing w:lineRule="auto" w:line="240" w:before="96" w:after="96"/>
              <w:rPr>
                <w:rFonts w:eastAsia="Calibri"/>
                <w:sz w:val="18"/>
                <w:szCs w:val="18"/>
              </w:rPr>
            </w:pPr>
            <w:r>
              <w:rPr>
                <w:rFonts w:eastAsia="Calibri" w:cs="Times New Roman"/>
                <w:kern w:val="0"/>
                <w:sz w:val="18"/>
                <w:szCs w:val="18"/>
                <w:lang w:val="ru-RU" w:bidi="ar-SA"/>
              </w:rPr>
              <w:t>ЦЕНА</w:t>
            </w:r>
            <w:r>
              <w:rPr>
                <w:rFonts w:eastAsia="Calibri" w:cs="Times New Roman"/>
                <w:i/>
                <w:iCs/>
                <w:kern w:val="0"/>
                <w:sz w:val="18"/>
                <w:szCs w:val="18"/>
                <w:vertAlign w:val="subscript"/>
                <w:lang w:val="en-US" w:bidi="ar-SA"/>
              </w:rPr>
              <w:t>i</w:t>
            </w:r>
            <w:r>
              <w:rPr>
                <w:rFonts w:eastAsia="Calibri" w:cs="Times New Roman"/>
                <w:kern w:val="0"/>
                <w:sz w:val="18"/>
                <w:szCs w:val="18"/>
                <w:lang w:val="ru-RU" w:bidi="ar-SA"/>
              </w:rPr>
              <w:t>  – цена договора, указанная в заявке допущенного участника, руб. без НДС;</w:t>
            </w:r>
          </w:p>
          <w:p>
            <w:pPr>
              <w:pStyle w:val="Normal"/>
              <w:widowControl w:val="false"/>
              <w:suppressAutoHyphens w:val="true"/>
              <w:spacing w:lineRule="auto" w:line="240" w:before="96" w:after="96"/>
              <w:rPr>
                <w:rFonts w:eastAsia="Calibri"/>
                <w:sz w:val="18"/>
                <w:szCs w:val="18"/>
              </w:rPr>
            </w:pPr>
            <w:r>
              <w:rPr>
                <w:rFonts w:eastAsia="Calibri" w:cs="Times New Roman"/>
                <w:kern w:val="0"/>
                <w:sz w:val="18"/>
                <w:szCs w:val="18"/>
                <w:lang w:val="ru-RU" w:bidi="ar-SA"/>
              </w:rPr>
              <w:t>ЦЕНА</w:t>
            </w:r>
            <w:r>
              <w:rPr>
                <w:rFonts w:eastAsia="Calibri" w:cs="Times New Roman"/>
                <w:kern w:val="0"/>
                <w:sz w:val="18"/>
                <w:szCs w:val="18"/>
                <w:vertAlign w:val="subscript"/>
                <w:lang w:val="en-US" w:bidi="ar-SA"/>
              </w:rPr>
              <w:t>min</w:t>
            </w:r>
            <w:r>
              <w:rPr>
                <w:rFonts w:eastAsia="Calibri" w:cs="Times New Roman"/>
                <w:kern w:val="0"/>
                <w:sz w:val="18"/>
                <w:szCs w:val="18"/>
                <w:vertAlign w:val="subscript"/>
                <w:lang w:val="ru-RU" w:bidi="ar-SA"/>
              </w:rPr>
              <w:t xml:space="preserve"> </w:t>
            </w:r>
            <w:r>
              <w:rPr>
                <w:rFonts w:eastAsia="Calibri" w:cs="Times New Roman"/>
                <w:kern w:val="0"/>
                <w:sz w:val="18"/>
                <w:szCs w:val="18"/>
                <w:lang w:val="ru-RU" w:bidi="ar-SA"/>
              </w:rPr>
              <w:t>– минимальная цена договора среди всех допущенных заявок участников, руб. без НДС;</w:t>
            </w:r>
          </w:p>
          <w:p>
            <w:pPr>
              <w:pStyle w:val="Normal"/>
              <w:widowControl w:val="false"/>
              <w:suppressAutoHyphens w:val="true"/>
              <w:spacing w:lineRule="auto" w:line="240" w:before="96" w:after="96"/>
              <w:rPr>
                <w:rFonts w:eastAsia="Calibri"/>
                <w:sz w:val="18"/>
                <w:szCs w:val="18"/>
              </w:rPr>
            </w:pPr>
            <w:r>
              <w:rPr>
                <w:rFonts w:eastAsia="Calibri" w:cs="Times New Roman"/>
                <w:kern w:val="0"/>
                <w:sz w:val="18"/>
                <w:szCs w:val="18"/>
                <w:lang w:val="ru-RU" w:bidi="ar-SA"/>
              </w:rPr>
              <w:t>Ш – максимально возможный балл (максимальная возможная оценка предпочтительности) по установленной в документации о закупке шкале оценок (Ш = 5).</w:t>
            </w:r>
          </w:p>
          <w:p>
            <w:pPr>
              <w:pStyle w:val="Normal"/>
              <w:widowControl w:val="false"/>
              <w:suppressAutoHyphens w:val="true"/>
              <w:spacing w:lineRule="auto" w:line="240" w:before="96" w:after="96"/>
              <w:rPr>
                <w:rFonts w:eastAsia="Calibri"/>
                <w:sz w:val="18"/>
                <w:szCs w:val="18"/>
              </w:rPr>
            </w:pPr>
            <w:r>
              <w:rPr>
                <w:rFonts w:eastAsia="Calibri" w:cs="Times New Roman"/>
                <w:kern w:val="0"/>
                <w:sz w:val="18"/>
                <w:szCs w:val="18"/>
                <w:lang w:val="ru-RU" w:bidi="ar-SA"/>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pPr>
              <w:pStyle w:val="32"/>
              <w:widowControl w:val="false"/>
              <w:numPr>
                <w:ilvl w:val="7"/>
                <w:numId w:val="6"/>
              </w:numPr>
              <w:suppressAutoHyphens w:val="true"/>
              <w:spacing w:lineRule="auto" w:line="240" w:before="96" w:after="96"/>
              <w:jc w:val="left"/>
              <w:rPr>
                <w:sz w:val="18"/>
                <w:szCs w:val="18"/>
                <w:lang w:eastAsia="ru-RU"/>
              </w:rPr>
            </w:pPr>
            <w:r>
              <w:rPr>
                <w:rFonts w:eastAsia="Calibri" w:cs="Times New Roman"/>
                <w:kern w:val="0"/>
                <w:sz w:val="18"/>
                <w:szCs w:val="18"/>
                <w:lang w:val="ru-RU" w:bidi="ar-SA"/>
              </w:rPr>
              <w:t>Шкала оценок от 0 до 5 баллов.</w:t>
            </w:r>
          </w:p>
        </w:tc>
      </w:tr>
      <w:tr>
        <w:trPr/>
        <w:tc>
          <w:tcPr>
            <w:tcW w:w="1100" w:type="dxa"/>
            <w:tcBorders/>
          </w:tcPr>
          <w:p>
            <w:pPr>
              <w:pStyle w:val="32"/>
              <w:widowControl w:val="false"/>
              <w:numPr>
                <w:ilvl w:val="7"/>
                <w:numId w:val="3"/>
              </w:numPr>
              <w:suppressAutoHyphens w:val="true"/>
              <w:spacing w:lineRule="auto" w:line="240" w:before="40" w:after="40"/>
              <w:jc w:val="center"/>
              <w:rPr>
                <w:sz w:val="18"/>
                <w:szCs w:val="18"/>
                <w:lang w:eastAsia="ru-RU"/>
              </w:rPr>
            </w:pPr>
            <w:r>
              <w:rPr>
                <w:rFonts w:cs="Times New Roman"/>
                <w:kern w:val="0"/>
                <w:sz w:val="18"/>
                <w:szCs w:val="18"/>
                <w:lang w:val="ru-RU" w:eastAsia="ru-RU" w:bidi="ar-SA"/>
              </w:rPr>
              <w:t>2.</w:t>
            </w:r>
          </w:p>
        </w:tc>
        <w:tc>
          <w:tcPr>
            <w:tcW w:w="1417" w:type="dxa"/>
            <w:tcBorders/>
          </w:tcPr>
          <w:p>
            <w:pPr>
              <w:pStyle w:val="32"/>
              <w:widowControl w:val="false"/>
              <w:numPr>
                <w:ilvl w:val="7"/>
                <w:numId w:val="3"/>
              </w:numPr>
              <w:suppressAutoHyphens w:val="true"/>
              <w:spacing w:lineRule="auto" w:line="240" w:before="40" w:after="40"/>
              <w:jc w:val="center"/>
              <w:rPr>
                <w:sz w:val="18"/>
                <w:szCs w:val="18"/>
                <w:lang w:eastAsia="ru-RU"/>
              </w:rPr>
            </w:pPr>
            <w:r>
              <w:rPr>
                <w:rFonts w:cs="Times New Roman"/>
                <w:kern w:val="0"/>
                <w:sz w:val="18"/>
                <w:szCs w:val="18"/>
                <w:lang w:val="ru-RU" w:eastAsia="ru-RU" w:bidi="ar-SA"/>
              </w:rPr>
              <w:t>Неценовой критерий оценки первого уровня / ТЕХ</w:t>
            </w:r>
          </w:p>
        </w:tc>
        <w:tc>
          <w:tcPr>
            <w:tcW w:w="1419" w:type="dxa"/>
            <w:tcBorders/>
          </w:tcPr>
          <w:p>
            <w:pPr>
              <w:pStyle w:val="32"/>
              <w:widowControl w:val="false"/>
              <w:numPr>
                <w:ilvl w:val="7"/>
                <w:numId w:val="3"/>
              </w:numPr>
              <w:suppressAutoHyphens w:val="true"/>
              <w:spacing w:lineRule="auto" w:line="240" w:before="40" w:after="40"/>
              <w:jc w:val="center"/>
              <w:rPr>
                <w:sz w:val="18"/>
                <w:szCs w:val="18"/>
                <w:lang w:eastAsia="ru-RU"/>
              </w:rPr>
            </w:pPr>
            <w:r>
              <w:rPr>
                <w:rFonts w:cs="Times New Roman"/>
                <w:kern w:val="0"/>
                <w:sz w:val="18"/>
                <w:szCs w:val="18"/>
                <w:lang w:val="ru-RU" w:eastAsia="ru-RU" w:bidi="ar-SA"/>
              </w:rPr>
              <w:t xml:space="preserve">Предпочтительность опыта </w:t>
            </w:r>
          </w:p>
        </w:tc>
        <w:tc>
          <w:tcPr>
            <w:tcW w:w="1416" w:type="dxa"/>
            <w:tcBorders/>
          </w:tcPr>
          <w:p>
            <w:pPr>
              <w:pStyle w:val="32"/>
              <w:widowControl w:val="false"/>
              <w:numPr>
                <w:ilvl w:val="7"/>
                <w:numId w:val="3"/>
              </w:numPr>
              <w:suppressAutoHyphens w:val="true"/>
              <w:spacing w:lineRule="auto" w:line="240" w:before="40" w:after="40"/>
              <w:jc w:val="center"/>
              <w:rPr>
                <w:sz w:val="18"/>
                <w:szCs w:val="18"/>
                <w:lang w:eastAsia="ru-RU"/>
              </w:rPr>
            </w:pPr>
            <w:r>
              <w:rPr>
                <w:rFonts w:cs="Times New Roman"/>
                <w:i/>
                <w:kern w:val="0"/>
                <w:sz w:val="18"/>
                <w:szCs w:val="18"/>
                <w:lang w:val="ru-RU" w:eastAsia="ru-RU" w:bidi="ar-SA"/>
              </w:rPr>
              <w:t>отсутствует</w:t>
            </w:r>
          </w:p>
        </w:tc>
        <w:tc>
          <w:tcPr>
            <w:tcW w:w="1135" w:type="dxa"/>
            <w:tcBorders/>
          </w:tcPr>
          <w:p>
            <w:pPr>
              <w:pStyle w:val="32"/>
              <w:widowControl w:val="false"/>
              <w:numPr>
                <w:ilvl w:val="7"/>
                <w:numId w:val="3"/>
              </w:numPr>
              <w:suppressAutoHyphens w:val="true"/>
              <w:spacing w:lineRule="auto" w:line="240" w:before="40" w:after="40"/>
              <w:jc w:val="center"/>
              <w:rPr>
                <w:rFonts w:cs="Times New Roman"/>
                <w:kern w:val="0"/>
                <w:lang w:val="ru-RU" w:bidi="ar-SA"/>
              </w:rPr>
            </w:pPr>
            <w:r>
              <w:rPr>
                <w:rFonts w:cs="Times New Roman"/>
                <w:kern w:val="0"/>
                <w:sz w:val="18"/>
                <w:szCs w:val="18"/>
                <w:lang w:val="ru-RU" w:eastAsia="ru-RU" w:bidi="ar-SA"/>
              </w:rPr>
              <w:t>5%</w:t>
            </w:r>
          </w:p>
          <w:p>
            <w:pPr>
              <w:pStyle w:val="32"/>
              <w:widowControl w:val="false"/>
              <w:numPr>
                <w:ilvl w:val="7"/>
                <w:numId w:val="3"/>
              </w:numPr>
              <w:suppressAutoHyphens w:val="true"/>
              <w:spacing w:lineRule="auto" w:line="240" w:before="40" w:after="40"/>
              <w:jc w:val="center"/>
              <w:rPr>
                <w:rFonts w:cs="Times New Roman"/>
                <w:kern w:val="0"/>
                <w:lang w:val="ru-RU" w:bidi="ar-SA"/>
              </w:rPr>
            </w:pPr>
            <w:r>
              <w:rPr>
                <w:rFonts w:cs="Times New Roman"/>
                <w:kern w:val="0"/>
                <w:sz w:val="18"/>
                <w:szCs w:val="18"/>
                <w:lang w:val="ru-RU" w:eastAsia="ru-RU" w:bidi="ar-SA"/>
              </w:rPr>
              <w:t>(В2 = 0,05)</w:t>
            </w:r>
          </w:p>
        </w:tc>
        <w:tc>
          <w:tcPr>
            <w:tcW w:w="1842" w:type="dxa"/>
            <w:tcBorders/>
          </w:tcPr>
          <w:p>
            <w:pPr>
              <w:pStyle w:val="32"/>
              <w:widowControl w:val="false"/>
              <w:numPr>
                <w:ilvl w:val="7"/>
                <w:numId w:val="3"/>
              </w:numPr>
              <w:suppressAutoHyphens w:val="true"/>
              <w:spacing w:lineRule="auto" w:line="240" w:before="40" w:after="40"/>
              <w:jc w:val="center"/>
              <w:rPr>
                <w:sz w:val="18"/>
                <w:szCs w:val="18"/>
                <w:lang w:eastAsia="ru-RU"/>
              </w:rPr>
            </w:pPr>
            <w:r>
              <w:rPr>
                <w:rFonts w:cs="Times New Roman"/>
                <w:kern w:val="0"/>
                <w:sz w:val="18"/>
                <w:szCs w:val="18"/>
                <w:lang w:val="ru-RU" w:eastAsia="ru-RU" w:bidi="ar-SA"/>
              </w:rPr>
              <w:t>Чем больше опыт с указанием объемов выполнения работ по демонтажу строительных конструкций зданий и  сооружений за последние 5 лет, предшествующие дате подачи заявок на участие в конкурентной закупке, тем выше предпочтительность</w:t>
            </w:r>
          </w:p>
        </w:tc>
        <w:tc>
          <w:tcPr>
            <w:tcW w:w="6684" w:type="dxa"/>
            <w:tcBorders/>
          </w:tcPr>
          <w:p>
            <w:pPr>
              <w:pStyle w:val="32"/>
              <w:widowControl w:val="false"/>
              <w:numPr>
                <w:ilvl w:val="7"/>
                <w:numId w:val="4"/>
              </w:numPr>
              <w:tabs>
                <w:tab w:val="left" w:pos="708" w:leader="none"/>
                <w:tab w:val="left" w:pos="1440" w:leader="none"/>
              </w:tabs>
              <w:suppressAutoHyphens w:val="false"/>
              <w:spacing w:lineRule="auto" w:line="240" w:before="96" w:after="96"/>
              <w:jc w:val="left"/>
              <w:rPr>
                <w:rFonts w:cs="Times New Roman"/>
                <w:kern w:val="0"/>
                <w:lang w:val="ru-RU" w:bidi="ar-SA"/>
              </w:rPr>
            </w:pPr>
            <w:r>
              <w:rPr>
                <w:rFonts w:cs="Times New Roman"/>
                <w:kern w:val="0"/>
                <w:sz w:val="18"/>
                <w:szCs w:val="18"/>
                <w:lang w:val="ru-RU" w:eastAsia="ru-RU"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tabs>
                <w:tab w:val="clear" w:pos="708"/>
                <w:tab w:val="left" w:pos="216" w:leader="none"/>
                <w:tab w:val="left" w:pos="950" w:leader="none"/>
              </w:tabs>
              <w:suppressAutoHyphens w:val="true"/>
              <w:spacing w:lineRule="auto" w:line="240"/>
              <w:rPr>
                <w:rFonts w:ascii="Times New Roman" w:hAnsi="Times New Roman" w:cs="Times New Roman"/>
                <w:kern w:val="0"/>
                <w:lang w:bidi="ar-SA"/>
              </w:rPr>
            </w:pPr>
            <w:r>
              <w:rPr>
                <w:rFonts w:eastAsia="Times New Roman" w:cs="Times New Roman"/>
                <w:kern w:val="0"/>
                <w:sz w:val="18"/>
                <w:szCs w:val="18"/>
                <w:lang w:val="ru-RU" w:eastAsia="ru-RU" w:bidi="ar-SA"/>
              </w:rPr>
              <w:t xml:space="preserve">Порядок осуществления оценки (значение оцениваемого параметра), в зависимости от предоставленных в </w:t>
            </w:r>
            <w:r>
              <w:rPr>
                <w:rFonts w:eastAsia="Times New Roman" w:cs="Times New Roman"/>
                <w:i/>
                <w:kern w:val="0"/>
                <w:sz w:val="18"/>
                <w:szCs w:val="18"/>
                <w:lang w:val="en-US" w:eastAsia="ru-RU" w:bidi="ar-SA"/>
              </w:rPr>
              <w:t>i</w:t>
            </w:r>
            <w:r>
              <w:rPr>
                <w:rFonts w:eastAsia="Times New Roman" w:cs="Times New Roman"/>
                <w:kern w:val="0"/>
                <w:sz w:val="18"/>
                <w:szCs w:val="18"/>
                <w:lang w:val="ru-RU" w:eastAsia="ru-RU" w:bidi="ar-SA"/>
              </w:rPr>
              <w:t xml:space="preserve">-ой заявке (в Справке об опыте Участника по установленной в документации о закупке форме, с приложением подтверждающих документов) сведений о выполненных работах с указанием объемов выполнения строительно-монтажных (демонтажных) работ зданий и сооружений за последние 5 лет, предшествующие дате подачи заявок, </w:t>
            </w:r>
            <w:r>
              <w:rPr>
                <w:rFonts w:eastAsia="Times New Roman" w:cs="Times New Roman"/>
                <w:i/>
                <w:iCs/>
                <w:kern w:val="0"/>
                <w:sz w:val="18"/>
                <w:szCs w:val="18"/>
                <w:lang w:val="ru-RU" w:eastAsia="ru-RU" w:bidi="ar-SA"/>
              </w:rPr>
              <w:t>с</w:t>
            </w:r>
            <w:r>
              <w:rPr>
                <w:rFonts w:eastAsia="Times New Roman" w:cs="Times New Roman"/>
                <w:i/>
                <w:iCs/>
                <w:kern w:val="0"/>
                <w:sz w:val="24"/>
                <w:szCs w:val="24"/>
                <w:lang w:val="ru-RU" w:eastAsia="ru-RU" w:bidi="ar-SA"/>
              </w:rPr>
              <w:t xml:space="preserve"> </w:t>
            </w:r>
            <w:r>
              <w:rPr>
                <w:rFonts w:eastAsia="Times New Roman" w:cs="Times New Roman"/>
                <w:i/>
                <w:iCs/>
                <w:kern w:val="0"/>
                <w:sz w:val="18"/>
                <w:szCs w:val="18"/>
                <w:lang w:val="ru-RU" w:eastAsia="ru-RU" w:bidi="ar-SA"/>
              </w:rPr>
              <w:t>предоставлением подтверждающих наличие требуемого опыта документов, а именно</w:t>
            </w:r>
            <w:r>
              <w:rPr>
                <w:rFonts w:eastAsia="Times New Roman" w:cs="Times New Roman"/>
                <w:iCs/>
                <w:kern w:val="0"/>
                <w:sz w:val="18"/>
                <w:szCs w:val="18"/>
                <w:lang w:val="ru-RU" w:eastAsia="ru-RU" w:bidi="ar-SA"/>
              </w:rPr>
              <w:t>:</w:t>
            </w:r>
          </w:p>
          <w:p>
            <w:pPr>
              <w:pStyle w:val="22"/>
              <w:widowControl w:val="false"/>
              <w:numPr>
                <w:ilvl w:val="6"/>
                <w:numId w:val="5"/>
              </w:numPr>
              <w:tabs>
                <w:tab w:val="clear" w:pos="708"/>
                <w:tab w:val="left" w:pos="1077" w:leader="none"/>
              </w:tabs>
              <w:suppressAutoHyphens w:val="false"/>
              <w:spacing w:lineRule="auto" w:line="240" w:before="120" w:after="120"/>
              <w:ind w:left="227" w:right="340" w:hanging="113"/>
              <w:rPr>
                <w:rFonts w:cs="Times New Roman"/>
                <w:kern w:val="0"/>
                <w:lang w:val="ru-RU" w:bidi="ar-SA"/>
              </w:rPr>
            </w:pPr>
            <w:r>
              <w:rPr>
                <w:rFonts w:eastAsia="Times New Roman" w:cs="Times New Roman"/>
                <w:i/>
                <w:iCs/>
                <w:kern w:val="0"/>
                <w:sz w:val="18"/>
                <w:szCs w:val="18"/>
                <w:lang w:val="ru-RU" w:eastAsia="ru-RU" w:bidi="ar-SA"/>
              </w:rPr>
              <w:t>-копии договоров, подписанных с обеих сторон (с приложением документов, предусмотренных требованиями договора, подтверждающих факт его исполнения, подписанных с обеих сторон)</w:t>
            </w:r>
            <w:r>
              <w:rPr>
                <w:rFonts w:cs="Times New Roman"/>
                <w:kern w:val="0"/>
                <w:sz w:val="18"/>
                <w:szCs w:val="18"/>
                <w:lang w:val="ru-RU" w:eastAsia="ru-RU" w:bidi="ar-SA"/>
              </w:rPr>
              <w:t>, на общую сумму:</w:t>
            </w:r>
            <w:r>
              <w:fldChar w:fldCharType="begin"/>
            </w:r>
            <w:r>
              <w:rPr>
                <w:sz w:val="18"/>
                <w:kern w:val="0"/>
                <w:szCs w:val="18"/>
                <w:rFonts w:cs="Times New Roman"/>
                <w:lang w:val="ru-RU" w:eastAsia="ru-RU" w:bidi="ar-SA"/>
              </w:rPr>
              <w:instrText xml:space="preserve">QUOTE</w:instrText>
            </w:r>
            <w:r>
              <w:rPr>
                <w:rFonts w:cs="Times New Roman"/>
                <w:kern w:val="0"/>
                <w:sz w:val="18"/>
                <w:szCs w:val="18"/>
                <w:lang w:val="ru-RU" w:eastAsia="ru-RU" w:bidi="ar-SA"/>
              </w:rPr>
            </w:r>
            <w:r>
              <w:rPr>
                <w:rFonts w:cs="Times New Roman"/>
                <w:kern w:val="0"/>
                <w:lang w:val="ru-RU" w:bidi="ar-SA"/>
              </w:rPr>
              <w:drawing>
                <wp:inline distT="0" distB="0" distL="0" distR="0">
                  <wp:extent cx="933450" cy="295275"/>
                  <wp:effectExtent l="0" t="0" r="0" b="0"/>
                  <wp:docPr id="1" name="Рисунок 2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32" descr=""/>
                          <pic:cNvPicPr>
                            <a:picLocks noChangeAspect="1" noChangeArrowheads="1"/>
                          </pic:cNvPicPr>
                        </pic:nvPicPr>
                        <pic:blipFill>
                          <a:blip r:embed="rId2"/>
                          <a:stretch>
                            <a:fillRect/>
                          </a:stretch>
                        </pic:blipFill>
                        <pic:spPr bwMode="auto">
                          <a:xfrm>
                            <a:off x="0" y="0"/>
                            <a:ext cx="933450" cy="295275"/>
                          </a:xfrm>
                          <a:prstGeom prst="rect">
                            <a:avLst/>
                          </a:prstGeom>
                        </pic:spPr>
                      </pic:pic>
                    </a:graphicData>
                  </a:graphic>
                </wp:inline>
              </w:drawing>
            </w:r>
            <w:r>
              <w:rPr>
                <w:sz w:val="18"/>
                <w:kern w:val="0"/>
                <w:szCs w:val="18"/>
                <w:rFonts w:cs="Times New Roman"/>
                <w:lang w:val="ru-RU" w:bidi="ar-SA"/>
              </w:rPr>
              <w:fldChar w:fldCharType="separate"/>
            </w:r>
            <w:r>
              <w:rPr>
                <w:rFonts w:cs="Times New Roman"/>
                <w:kern w:val="0"/>
                <w:sz w:val="18"/>
                <w:szCs w:val="18"/>
                <w:lang w:val="ru-RU" w:bidi="ar-SA"/>
              </w:rPr>
            </w:r>
            <w:r/>
            <w:r>
              <w:rPr>
                <w:sz w:val="18"/>
                <w:kern w:val="0"/>
                <w:szCs w:val="18"/>
                <w:rFonts w:cs="Times New Roman"/>
                <w:lang w:val="ru-RU" w:bidi="ar-SA"/>
              </w:rPr>
              <w:fldChar w:fldCharType="end"/>
            </w:r>
            <w:r>
              <w:rPr>
                <w:rFonts w:cs="Times New Roman"/>
                <w:kern w:val="0"/>
                <w:sz w:val="18"/>
                <w:szCs w:val="18"/>
                <w:lang w:val="ru-RU" w:bidi="ar-SA"/>
              </w:rPr>
            </w:r>
          </w:p>
          <w:tbl>
            <w:tblPr>
              <w:tblW w:w="5387"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887"/>
              <w:gridCol w:w="4499"/>
            </w:tblGrid>
            <w:tr>
              <w:trPr>
                <w:cantSplit w:val="true"/>
              </w:trPr>
              <w:tc>
                <w:tcPr>
                  <w:tcW w:w="887" w:type="dxa"/>
                  <w:tcBorders>
                    <w:bottom w:val="single" w:sz="8" w:space="0" w:color="000000"/>
                    <w:right w:val="single" w:sz="8" w:space="0" w:color="000000"/>
                  </w:tcBorders>
                </w:tcPr>
                <w:p>
                  <w:pPr>
                    <w:pStyle w:val="32"/>
                    <w:widowControl w:val="false"/>
                    <w:numPr>
                      <w:ilvl w:val="7"/>
                      <w:numId w:val="16"/>
                    </w:numPr>
                    <w:tabs>
                      <w:tab w:val="left" w:pos="708" w:leader="none"/>
                      <w:tab w:val="left" w:pos="1440" w:leader="none"/>
                      <w:tab w:val="left" w:pos="2880" w:leader="none"/>
                    </w:tabs>
                    <w:spacing w:lineRule="auto" w:line="240" w:before="40" w:after="40"/>
                    <w:jc w:val="center"/>
                    <w:rPr>
                      <w:sz w:val="18"/>
                      <w:szCs w:val="18"/>
                    </w:rPr>
                  </w:pPr>
                  <w:r>
                    <w:rPr>
                      <w:sz w:val="18"/>
                      <w:szCs w:val="18"/>
                    </w:rPr>
                    <w:t>Б</w:t>
                  </w:r>
                  <w:r>
                    <w:rPr>
                      <w:sz w:val="18"/>
                      <w:szCs w:val="18"/>
                      <w:vertAlign w:val="subscript"/>
                    </w:rPr>
                    <w:t>2</w:t>
                  </w:r>
                  <w:r>
                    <w:rPr>
                      <w:sz w:val="18"/>
                      <w:szCs w:val="18"/>
                    </w:rPr>
                    <w:t xml:space="preserve"> = 0</w:t>
                  </w:r>
                </w:p>
              </w:tc>
              <w:tc>
                <w:tcPr>
                  <w:tcW w:w="4499" w:type="dxa"/>
                  <w:tcBorders>
                    <w:bottom w:val="single" w:sz="8" w:space="0" w:color="000000"/>
                  </w:tcBorders>
                </w:tcPr>
                <w:p>
                  <w:pPr>
                    <w:pStyle w:val="-1"/>
                    <w:widowControl w:val="false"/>
                    <w:numPr>
                      <w:ilvl w:val="0"/>
                      <w:numId w:val="0"/>
                    </w:numPr>
                    <w:tabs>
                      <w:tab w:val="left" w:pos="708" w:leader="none"/>
                      <w:tab w:val="left" w:pos="1077" w:leader="none"/>
                      <w:tab w:val="left" w:pos="1576" w:leader="none"/>
                    </w:tabs>
                    <w:spacing w:lineRule="auto" w:line="240" w:before="40" w:after="40"/>
                    <w:ind w:left="284" w:hanging="0"/>
                    <w:jc w:val="left"/>
                    <w:rPr/>
                  </w:pPr>
                  <w:r>
                    <w:rPr>
                      <w:sz w:val="18"/>
                      <w:szCs w:val="18"/>
                    </w:rPr>
                    <w:t>От 30%</w:t>
                  </w:r>
                  <w:r>
                    <w:rPr>
                      <w:sz w:val="18"/>
                      <w:szCs w:val="26"/>
                      <w:lang w:eastAsia="ru-RU"/>
                    </w:rPr>
                    <w:t xml:space="preserve"> от НМЦ</w:t>
                  </w:r>
                  <w:r>
                    <w:rPr>
                      <w:sz w:val="18"/>
                      <w:szCs w:val="18"/>
                    </w:rPr>
                    <w:t xml:space="preserve"> руб. без НДС </w:t>
                  </w:r>
                  <w:r>
                    <w:rPr>
                      <w:sz w:val="18"/>
                      <w:szCs w:val="26"/>
                      <w:lang w:eastAsia="ru-RU"/>
                    </w:rPr>
                    <w:t xml:space="preserve"> </w:t>
                  </w:r>
                  <w:r>
                    <w:rPr>
                      <w:sz w:val="18"/>
                      <w:szCs w:val="18"/>
                    </w:rPr>
                    <w:t>(включительно) до 40% руб. без НДС</w:t>
                  </w:r>
                  <w:r>
                    <w:rPr>
                      <w:sz w:val="18"/>
                      <w:szCs w:val="26"/>
                      <w:lang w:eastAsia="ru-RU"/>
                    </w:rPr>
                    <w:t xml:space="preserve">  от НМЦ лота </w:t>
                  </w:r>
                  <w:r>
                    <w:rPr>
                      <w:sz w:val="18"/>
                      <w:szCs w:val="18"/>
                    </w:rPr>
                    <w:t xml:space="preserve"> (включительно);</w:t>
                  </w:r>
                </w:p>
              </w:tc>
            </w:tr>
            <w:tr>
              <w:trPr>
                <w:cantSplit w:val="true"/>
              </w:trPr>
              <w:tc>
                <w:tcPr>
                  <w:tcW w:w="887" w:type="dxa"/>
                  <w:tcBorders>
                    <w:bottom w:val="single" w:sz="8" w:space="0" w:color="000000"/>
                    <w:right w:val="single" w:sz="8" w:space="0" w:color="000000"/>
                  </w:tcBorders>
                </w:tcPr>
                <w:p>
                  <w:pPr>
                    <w:pStyle w:val="32"/>
                    <w:widowControl w:val="false"/>
                    <w:numPr>
                      <w:ilvl w:val="7"/>
                      <w:numId w:val="17"/>
                    </w:numPr>
                    <w:tabs>
                      <w:tab w:val="left" w:pos="708" w:leader="none"/>
                      <w:tab w:val="left" w:pos="1440" w:leader="none"/>
                      <w:tab w:val="left" w:pos="2880" w:leader="none"/>
                    </w:tabs>
                    <w:spacing w:lineRule="auto" w:line="240" w:before="40" w:after="40"/>
                    <w:jc w:val="center"/>
                    <w:rPr>
                      <w:sz w:val="18"/>
                      <w:szCs w:val="18"/>
                    </w:rPr>
                  </w:pPr>
                  <w:r>
                    <w:rPr>
                      <w:sz w:val="18"/>
                      <w:szCs w:val="18"/>
                    </w:rPr>
                    <w:t>Б</w:t>
                  </w:r>
                  <w:r>
                    <w:rPr>
                      <w:sz w:val="18"/>
                      <w:szCs w:val="18"/>
                      <w:vertAlign w:val="subscript"/>
                    </w:rPr>
                    <w:t>2</w:t>
                  </w:r>
                  <w:r>
                    <w:rPr>
                      <w:sz w:val="18"/>
                      <w:szCs w:val="18"/>
                    </w:rPr>
                    <w:t xml:space="preserve"> = 1</w:t>
                  </w:r>
                </w:p>
              </w:tc>
              <w:tc>
                <w:tcPr>
                  <w:tcW w:w="4499" w:type="dxa"/>
                  <w:tcBorders>
                    <w:bottom w:val="single" w:sz="8" w:space="0" w:color="000000"/>
                  </w:tcBorders>
                </w:tcPr>
                <w:p>
                  <w:pPr>
                    <w:pStyle w:val="-1"/>
                    <w:widowControl w:val="false"/>
                    <w:numPr>
                      <w:ilvl w:val="0"/>
                      <w:numId w:val="0"/>
                    </w:numPr>
                    <w:tabs>
                      <w:tab w:val="left" w:pos="708" w:leader="none"/>
                      <w:tab w:val="left" w:pos="1077" w:leader="none"/>
                      <w:tab w:val="left" w:pos="1576" w:leader="none"/>
                    </w:tabs>
                    <w:spacing w:lineRule="auto" w:line="240" w:before="40" w:after="40"/>
                    <w:ind w:left="284" w:hanging="0"/>
                    <w:jc w:val="left"/>
                    <w:rPr/>
                  </w:pPr>
                  <w:r>
                    <w:rPr>
                      <w:sz w:val="18"/>
                      <w:szCs w:val="18"/>
                    </w:rPr>
                    <w:t>более 40% руб. без НДС</w:t>
                  </w:r>
                  <w:r>
                    <w:rPr>
                      <w:sz w:val="18"/>
                      <w:szCs w:val="26"/>
                      <w:lang w:eastAsia="ru-RU"/>
                    </w:rPr>
                    <w:t xml:space="preserve">  от НМЦ лота </w:t>
                  </w:r>
                  <w:r>
                    <w:rPr>
                      <w:sz w:val="18"/>
                      <w:szCs w:val="18"/>
                    </w:rPr>
                    <w:t>;</w:t>
                  </w:r>
                </w:p>
                <w:p>
                  <w:pPr>
                    <w:pStyle w:val="-1"/>
                    <w:widowControl w:val="false"/>
                    <w:numPr>
                      <w:ilvl w:val="0"/>
                      <w:numId w:val="0"/>
                    </w:numPr>
                    <w:tabs>
                      <w:tab w:val="left" w:pos="708" w:leader="none"/>
                      <w:tab w:val="left" w:pos="1077" w:leader="none"/>
                      <w:tab w:val="left" w:pos="1576" w:leader="none"/>
                    </w:tabs>
                    <w:spacing w:lineRule="auto" w:line="240" w:before="40" w:after="40"/>
                    <w:ind w:left="284" w:hanging="0"/>
                    <w:jc w:val="left"/>
                    <w:rPr/>
                  </w:pPr>
                  <w:r>
                    <w:rPr>
                      <w:sz w:val="18"/>
                      <w:szCs w:val="18"/>
                    </w:rPr>
                    <w:t>но менее 50% руб. без НДС</w:t>
                  </w:r>
                  <w:r>
                    <w:rPr>
                      <w:sz w:val="18"/>
                      <w:szCs w:val="26"/>
                      <w:lang w:eastAsia="ru-RU"/>
                    </w:rPr>
                    <w:t xml:space="preserve"> от НМЦ лота </w:t>
                  </w:r>
                  <w:r>
                    <w:rPr>
                      <w:sz w:val="18"/>
                      <w:szCs w:val="18"/>
                    </w:rPr>
                    <w:t xml:space="preserve"> (включительно);</w:t>
                  </w:r>
                </w:p>
              </w:tc>
            </w:tr>
            <w:tr>
              <w:trPr>
                <w:cantSplit w:val="true"/>
              </w:trPr>
              <w:tc>
                <w:tcPr>
                  <w:tcW w:w="887" w:type="dxa"/>
                  <w:tcBorders>
                    <w:bottom w:val="single" w:sz="8" w:space="0" w:color="000000"/>
                    <w:right w:val="single" w:sz="8" w:space="0" w:color="000000"/>
                  </w:tcBorders>
                </w:tcPr>
                <w:p>
                  <w:pPr>
                    <w:pStyle w:val="32"/>
                    <w:widowControl w:val="false"/>
                    <w:numPr>
                      <w:ilvl w:val="7"/>
                      <w:numId w:val="18"/>
                    </w:numPr>
                    <w:tabs>
                      <w:tab w:val="left" w:pos="708" w:leader="none"/>
                      <w:tab w:val="left" w:pos="1440" w:leader="none"/>
                      <w:tab w:val="left" w:pos="2880" w:leader="none"/>
                    </w:tabs>
                    <w:spacing w:lineRule="auto" w:line="240" w:before="40" w:after="40"/>
                    <w:jc w:val="center"/>
                    <w:rPr>
                      <w:sz w:val="18"/>
                      <w:szCs w:val="18"/>
                    </w:rPr>
                  </w:pPr>
                  <w:r>
                    <w:rPr>
                      <w:sz w:val="18"/>
                      <w:szCs w:val="18"/>
                    </w:rPr>
                    <w:t>Б</w:t>
                  </w:r>
                  <w:r>
                    <w:rPr>
                      <w:sz w:val="18"/>
                      <w:szCs w:val="18"/>
                      <w:vertAlign w:val="subscript"/>
                    </w:rPr>
                    <w:t>2</w:t>
                  </w:r>
                  <w:r>
                    <w:rPr>
                      <w:sz w:val="18"/>
                      <w:szCs w:val="18"/>
                    </w:rPr>
                    <w:t xml:space="preserve"> = 2</w:t>
                  </w:r>
                </w:p>
              </w:tc>
              <w:tc>
                <w:tcPr>
                  <w:tcW w:w="4499" w:type="dxa"/>
                  <w:tcBorders>
                    <w:bottom w:val="single" w:sz="8" w:space="0" w:color="000000"/>
                  </w:tcBorders>
                </w:tcPr>
                <w:p>
                  <w:pPr>
                    <w:pStyle w:val="-1"/>
                    <w:widowControl w:val="false"/>
                    <w:numPr>
                      <w:ilvl w:val="0"/>
                      <w:numId w:val="0"/>
                    </w:numPr>
                    <w:tabs>
                      <w:tab w:val="left" w:pos="708" w:leader="none"/>
                      <w:tab w:val="left" w:pos="1077" w:leader="none"/>
                      <w:tab w:val="left" w:pos="1576" w:leader="none"/>
                    </w:tabs>
                    <w:spacing w:lineRule="auto" w:line="240" w:before="40" w:after="40"/>
                    <w:ind w:left="284" w:hanging="0"/>
                    <w:jc w:val="left"/>
                    <w:rPr/>
                  </w:pPr>
                  <w:r>
                    <w:rPr>
                      <w:sz w:val="18"/>
                      <w:szCs w:val="18"/>
                    </w:rPr>
                    <w:t>более 50% руб. без НДС</w:t>
                  </w:r>
                  <w:r>
                    <w:rPr>
                      <w:sz w:val="18"/>
                      <w:szCs w:val="26"/>
                      <w:lang w:eastAsia="ru-RU"/>
                    </w:rPr>
                    <w:t xml:space="preserve"> от НМЦ лота</w:t>
                  </w:r>
                  <w:r>
                    <w:rPr>
                      <w:sz w:val="18"/>
                      <w:szCs w:val="18"/>
                    </w:rPr>
                    <w:t xml:space="preserve">, </w:t>
                  </w:r>
                </w:p>
                <w:p>
                  <w:pPr>
                    <w:pStyle w:val="-1"/>
                    <w:widowControl w:val="false"/>
                    <w:numPr>
                      <w:ilvl w:val="0"/>
                      <w:numId w:val="0"/>
                    </w:numPr>
                    <w:tabs>
                      <w:tab w:val="left" w:pos="708" w:leader="none"/>
                      <w:tab w:val="left" w:pos="1077" w:leader="none"/>
                      <w:tab w:val="left" w:pos="1576" w:leader="none"/>
                    </w:tabs>
                    <w:spacing w:lineRule="auto" w:line="240" w:before="40" w:after="40"/>
                    <w:ind w:left="284" w:hanging="0"/>
                    <w:jc w:val="left"/>
                    <w:rPr/>
                  </w:pPr>
                  <w:r>
                    <w:rPr>
                      <w:sz w:val="18"/>
                      <w:szCs w:val="18"/>
                    </w:rPr>
                    <w:t>но менее 60% руб. без НДС</w:t>
                  </w:r>
                  <w:r>
                    <w:rPr>
                      <w:sz w:val="18"/>
                      <w:szCs w:val="26"/>
                      <w:lang w:eastAsia="ru-RU"/>
                    </w:rPr>
                    <w:t xml:space="preserve"> от НМЦ лота </w:t>
                  </w:r>
                  <w:r>
                    <w:rPr>
                      <w:sz w:val="18"/>
                      <w:szCs w:val="18"/>
                    </w:rPr>
                    <w:t xml:space="preserve"> </w:t>
                  </w:r>
                </w:p>
                <w:p>
                  <w:pPr>
                    <w:pStyle w:val="-1"/>
                    <w:widowControl w:val="false"/>
                    <w:numPr>
                      <w:ilvl w:val="0"/>
                      <w:numId w:val="0"/>
                    </w:numPr>
                    <w:tabs>
                      <w:tab w:val="left" w:pos="708" w:leader="none"/>
                      <w:tab w:val="left" w:pos="1077" w:leader="none"/>
                      <w:tab w:val="left" w:pos="1576" w:leader="none"/>
                    </w:tabs>
                    <w:spacing w:lineRule="auto" w:line="240" w:before="40" w:after="40"/>
                    <w:ind w:left="284" w:hanging="0"/>
                    <w:jc w:val="left"/>
                    <w:rPr/>
                  </w:pPr>
                  <w:r>
                    <w:rPr>
                      <w:sz w:val="18"/>
                      <w:szCs w:val="18"/>
                    </w:rPr>
                    <w:t xml:space="preserve"> </w:t>
                  </w:r>
                  <w:r>
                    <w:rPr>
                      <w:sz w:val="18"/>
                      <w:szCs w:val="18"/>
                    </w:rPr>
                    <w:t>(включительно);</w:t>
                  </w:r>
                </w:p>
              </w:tc>
            </w:tr>
            <w:tr>
              <w:trPr>
                <w:cantSplit w:val="true"/>
              </w:trPr>
              <w:tc>
                <w:tcPr>
                  <w:tcW w:w="887" w:type="dxa"/>
                  <w:tcBorders>
                    <w:bottom w:val="single" w:sz="8" w:space="0" w:color="000000"/>
                    <w:right w:val="single" w:sz="8" w:space="0" w:color="000000"/>
                  </w:tcBorders>
                </w:tcPr>
                <w:p>
                  <w:pPr>
                    <w:pStyle w:val="32"/>
                    <w:widowControl w:val="false"/>
                    <w:numPr>
                      <w:ilvl w:val="7"/>
                      <w:numId w:val="19"/>
                    </w:numPr>
                    <w:tabs>
                      <w:tab w:val="left" w:pos="708" w:leader="none"/>
                      <w:tab w:val="left" w:pos="1440" w:leader="none"/>
                      <w:tab w:val="left" w:pos="2880" w:leader="none"/>
                    </w:tabs>
                    <w:spacing w:lineRule="auto" w:line="240" w:before="40" w:after="40"/>
                    <w:jc w:val="center"/>
                    <w:rPr>
                      <w:sz w:val="18"/>
                      <w:szCs w:val="18"/>
                    </w:rPr>
                  </w:pPr>
                  <w:r>
                    <w:rPr>
                      <w:sz w:val="18"/>
                      <w:szCs w:val="18"/>
                    </w:rPr>
                    <w:t>Б</w:t>
                  </w:r>
                  <w:r>
                    <w:rPr>
                      <w:sz w:val="18"/>
                      <w:szCs w:val="18"/>
                      <w:vertAlign w:val="subscript"/>
                    </w:rPr>
                    <w:t>2</w:t>
                  </w:r>
                  <w:r>
                    <w:rPr>
                      <w:sz w:val="18"/>
                      <w:szCs w:val="18"/>
                    </w:rPr>
                    <w:t xml:space="preserve"> = 3</w:t>
                  </w:r>
                </w:p>
              </w:tc>
              <w:tc>
                <w:tcPr>
                  <w:tcW w:w="4499" w:type="dxa"/>
                  <w:tcBorders>
                    <w:bottom w:val="single" w:sz="8" w:space="0" w:color="000000"/>
                  </w:tcBorders>
                </w:tcPr>
                <w:p>
                  <w:pPr>
                    <w:pStyle w:val="-1"/>
                    <w:widowControl w:val="false"/>
                    <w:numPr>
                      <w:ilvl w:val="0"/>
                      <w:numId w:val="0"/>
                    </w:numPr>
                    <w:tabs>
                      <w:tab w:val="left" w:pos="708" w:leader="none"/>
                      <w:tab w:val="left" w:pos="1077" w:leader="none"/>
                      <w:tab w:val="left" w:pos="1576" w:leader="none"/>
                    </w:tabs>
                    <w:spacing w:lineRule="auto" w:line="240" w:before="40" w:after="40"/>
                    <w:ind w:left="284" w:hanging="0"/>
                    <w:jc w:val="left"/>
                    <w:rPr/>
                  </w:pPr>
                  <w:r>
                    <w:rPr>
                      <w:sz w:val="18"/>
                      <w:szCs w:val="18"/>
                    </w:rPr>
                    <w:t>более 60% руб. без НДС</w:t>
                  </w:r>
                  <w:r>
                    <w:rPr>
                      <w:sz w:val="18"/>
                      <w:szCs w:val="26"/>
                      <w:lang w:eastAsia="ru-RU"/>
                    </w:rPr>
                    <w:t xml:space="preserve"> от НМЦ лота</w:t>
                  </w:r>
                  <w:r>
                    <w:rPr>
                      <w:sz w:val="18"/>
                      <w:szCs w:val="18"/>
                    </w:rPr>
                    <w:t>,</w:t>
                  </w:r>
                </w:p>
                <w:p>
                  <w:pPr>
                    <w:pStyle w:val="-1"/>
                    <w:widowControl w:val="false"/>
                    <w:numPr>
                      <w:ilvl w:val="0"/>
                      <w:numId w:val="0"/>
                    </w:numPr>
                    <w:tabs>
                      <w:tab w:val="left" w:pos="708" w:leader="none"/>
                      <w:tab w:val="left" w:pos="1077" w:leader="none"/>
                      <w:tab w:val="left" w:pos="1576" w:leader="none"/>
                    </w:tabs>
                    <w:spacing w:lineRule="auto" w:line="240" w:before="40" w:after="40"/>
                    <w:ind w:left="284" w:hanging="0"/>
                    <w:jc w:val="left"/>
                    <w:rPr/>
                  </w:pPr>
                  <w:r>
                    <w:rPr>
                      <w:sz w:val="18"/>
                      <w:szCs w:val="18"/>
                    </w:rPr>
                    <w:t xml:space="preserve"> </w:t>
                  </w:r>
                  <w:r>
                    <w:rPr>
                      <w:sz w:val="18"/>
                      <w:szCs w:val="18"/>
                    </w:rPr>
                    <w:t>но менее 70% руб. без НДС</w:t>
                  </w:r>
                  <w:r>
                    <w:rPr>
                      <w:sz w:val="18"/>
                      <w:szCs w:val="26"/>
                      <w:lang w:eastAsia="ru-RU"/>
                    </w:rPr>
                    <w:t xml:space="preserve"> от НМЦ лота </w:t>
                  </w:r>
                  <w:r>
                    <w:rPr>
                      <w:sz w:val="18"/>
                      <w:szCs w:val="18"/>
                    </w:rPr>
                    <w:t xml:space="preserve"> </w:t>
                  </w:r>
                </w:p>
                <w:p>
                  <w:pPr>
                    <w:pStyle w:val="-1"/>
                    <w:widowControl w:val="false"/>
                    <w:numPr>
                      <w:ilvl w:val="0"/>
                      <w:numId w:val="0"/>
                    </w:numPr>
                    <w:tabs>
                      <w:tab w:val="left" w:pos="708" w:leader="none"/>
                      <w:tab w:val="left" w:pos="1077" w:leader="none"/>
                      <w:tab w:val="left" w:pos="1576" w:leader="none"/>
                    </w:tabs>
                    <w:spacing w:lineRule="auto" w:line="240" w:before="40" w:after="40"/>
                    <w:ind w:left="284" w:hanging="0"/>
                    <w:jc w:val="left"/>
                    <w:rPr/>
                  </w:pPr>
                  <w:r>
                    <w:rPr>
                      <w:sz w:val="18"/>
                      <w:szCs w:val="18"/>
                    </w:rPr>
                    <w:t>(включительно);</w:t>
                  </w:r>
                </w:p>
              </w:tc>
            </w:tr>
            <w:tr>
              <w:trPr>
                <w:cantSplit w:val="true"/>
              </w:trPr>
              <w:tc>
                <w:tcPr>
                  <w:tcW w:w="887" w:type="dxa"/>
                  <w:tcBorders>
                    <w:bottom w:val="single" w:sz="8" w:space="0" w:color="000000"/>
                    <w:right w:val="single" w:sz="8" w:space="0" w:color="000000"/>
                  </w:tcBorders>
                </w:tcPr>
                <w:p>
                  <w:pPr>
                    <w:pStyle w:val="32"/>
                    <w:widowControl w:val="false"/>
                    <w:numPr>
                      <w:ilvl w:val="7"/>
                      <w:numId w:val="20"/>
                    </w:numPr>
                    <w:tabs>
                      <w:tab w:val="left" w:pos="708" w:leader="none"/>
                      <w:tab w:val="left" w:pos="1440" w:leader="none"/>
                      <w:tab w:val="left" w:pos="2880" w:leader="none"/>
                    </w:tabs>
                    <w:spacing w:lineRule="auto" w:line="240" w:before="40" w:after="40"/>
                    <w:jc w:val="center"/>
                    <w:rPr>
                      <w:sz w:val="18"/>
                      <w:szCs w:val="18"/>
                    </w:rPr>
                  </w:pPr>
                  <w:r>
                    <w:rPr>
                      <w:sz w:val="18"/>
                      <w:szCs w:val="18"/>
                    </w:rPr>
                    <w:t>Б</w:t>
                  </w:r>
                  <w:r>
                    <w:rPr>
                      <w:sz w:val="18"/>
                      <w:szCs w:val="18"/>
                      <w:vertAlign w:val="subscript"/>
                    </w:rPr>
                    <w:t>2</w:t>
                  </w:r>
                  <w:r>
                    <w:rPr>
                      <w:sz w:val="18"/>
                      <w:szCs w:val="18"/>
                    </w:rPr>
                    <w:t xml:space="preserve"> = 4</w:t>
                  </w:r>
                </w:p>
              </w:tc>
              <w:tc>
                <w:tcPr>
                  <w:tcW w:w="4499" w:type="dxa"/>
                  <w:tcBorders>
                    <w:bottom w:val="single" w:sz="8" w:space="0" w:color="000000"/>
                  </w:tcBorders>
                </w:tcPr>
                <w:p>
                  <w:pPr>
                    <w:pStyle w:val="-1"/>
                    <w:widowControl w:val="false"/>
                    <w:numPr>
                      <w:ilvl w:val="0"/>
                      <w:numId w:val="0"/>
                    </w:numPr>
                    <w:tabs>
                      <w:tab w:val="left" w:pos="708" w:leader="none"/>
                      <w:tab w:val="left" w:pos="1077" w:leader="none"/>
                      <w:tab w:val="left" w:pos="1576" w:leader="none"/>
                    </w:tabs>
                    <w:spacing w:lineRule="auto" w:line="240" w:before="40" w:after="40"/>
                    <w:ind w:left="284" w:hanging="0"/>
                    <w:jc w:val="left"/>
                    <w:rPr/>
                  </w:pPr>
                  <w:r>
                    <w:rPr>
                      <w:sz w:val="18"/>
                      <w:szCs w:val="18"/>
                    </w:rPr>
                    <w:t>более 70% руб. без НДС</w:t>
                  </w:r>
                  <w:r>
                    <w:rPr>
                      <w:sz w:val="18"/>
                      <w:szCs w:val="26"/>
                      <w:lang w:eastAsia="ru-RU"/>
                    </w:rPr>
                    <w:t xml:space="preserve"> от НМЦ лота</w:t>
                  </w:r>
                  <w:r>
                    <w:rPr>
                      <w:sz w:val="18"/>
                      <w:szCs w:val="18"/>
                    </w:rPr>
                    <w:t xml:space="preserve">, </w:t>
                  </w:r>
                </w:p>
                <w:p>
                  <w:pPr>
                    <w:pStyle w:val="-1"/>
                    <w:widowControl w:val="false"/>
                    <w:numPr>
                      <w:ilvl w:val="0"/>
                      <w:numId w:val="0"/>
                    </w:numPr>
                    <w:tabs>
                      <w:tab w:val="left" w:pos="708" w:leader="none"/>
                      <w:tab w:val="left" w:pos="1077" w:leader="none"/>
                      <w:tab w:val="left" w:pos="1576" w:leader="none"/>
                    </w:tabs>
                    <w:spacing w:lineRule="auto" w:line="240" w:before="40" w:after="40"/>
                    <w:ind w:left="284" w:hanging="0"/>
                    <w:jc w:val="left"/>
                    <w:rPr/>
                  </w:pPr>
                  <w:r>
                    <w:rPr>
                      <w:sz w:val="18"/>
                      <w:szCs w:val="18"/>
                    </w:rPr>
                    <w:t>но менее 80% руб. без НДС</w:t>
                  </w:r>
                  <w:r>
                    <w:rPr>
                      <w:sz w:val="18"/>
                      <w:szCs w:val="26"/>
                      <w:lang w:eastAsia="ru-RU"/>
                    </w:rPr>
                    <w:t xml:space="preserve"> от НМЦ лота </w:t>
                  </w:r>
                  <w:r>
                    <w:rPr>
                      <w:sz w:val="18"/>
                      <w:szCs w:val="18"/>
                    </w:rPr>
                    <w:t xml:space="preserve"> </w:t>
                  </w:r>
                </w:p>
                <w:p>
                  <w:pPr>
                    <w:pStyle w:val="-1"/>
                    <w:widowControl w:val="false"/>
                    <w:numPr>
                      <w:ilvl w:val="0"/>
                      <w:numId w:val="0"/>
                    </w:numPr>
                    <w:tabs>
                      <w:tab w:val="left" w:pos="708" w:leader="none"/>
                      <w:tab w:val="left" w:pos="1077" w:leader="none"/>
                      <w:tab w:val="left" w:pos="1576" w:leader="none"/>
                    </w:tabs>
                    <w:spacing w:lineRule="auto" w:line="240" w:before="40" w:after="40"/>
                    <w:ind w:left="284" w:hanging="0"/>
                    <w:jc w:val="left"/>
                    <w:rPr/>
                  </w:pPr>
                  <w:r>
                    <w:rPr>
                      <w:sz w:val="18"/>
                      <w:szCs w:val="18"/>
                    </w:rPr>
                    <w:t>(включительно);</w:t>
                  </w:r>
                </w:p>
              </w:tc>
            </w:tr>
            <w:tr>
              <w:trPr>
                <w:cantSplit w:val="true"/>
              </w:trPr>
              <w:tc>
                <w:tcPr>
                  <w:tcW w:w="887" w:type="dxa"/>
                  <w:tcBorders>
                    <w:right w:val="single" w:sz="8" w:space="0" w:color="000000"/>
                  </w:tcBorders>
                </w:tcPr>
                <w:p>
                  <w:pPr>
                    <w:pStyle w:val="32"/>
                    <w:widowControl w:val="false"/>
                    <w:numPr>
                      <w:ilvl w:val="7"/>
                      <w:numId w:val="21"/>
                    </w:numPr>
                    <w:tabs>
                      <w:tab w:val="left" w:pos="708" w:leader="none"/>
                      <w:tab w:val="left" w:pos="1440" w:leader="none"/>
                      <w:tab w:val="left" w:pos="2880" w:leader="none"/>
                    </w:tabs>
                    <w:spacing w:lineRule="auto" w:line="240" w:before="40" w:after="40"/>
                    <w:jc w:val="center"/>
                    <w:rPr>
                      <w:sz w:val="18"/>
                      <w:szCs w:val="18"/>
                    </w:rPr>
                  </w:pPr>
                  <w:r>
                    <w:rPr>
                      <w:sz w:val="18"/>
                      <w:szCs w:val="18"/>
                    </w:rPr>
                    <w:t>Б</w:t>
                  </w:r>
                  <w:r>
                    <w:rPr>
                      <w:sz w:val="18"/>
                      <w:szCs w:val="18"/>
                      <w:vertAlign w:val="subscript"/>
                    </w:rPr>
                    <w:t>2</w:t>
                  </w:r>
                  <w:r>
                    <w:rPr>
                      <w:sz w:val="18"/>
                      <w:szCs w:val="18"/>
                    </w:rPr>
                    <w:t xml:space="preserve"> = 5</w:t>
                  </w:r>
                </w:p>
              </w:tc>
              <w:tc>
                <w:tcPr>
                  <w:tcW w:w="4499" w:type="dxa"/>
                  <w:tcBorders/>
                </w:tcPr>
                <w:p>
                  <w:pPr>
                    <w:pStyle w:val="-1"/>
                    <w:widowControl w:val="false"/>
                    <w:numPr>
                      <w:ilvl w:val="0"/>
                      <w:numId w:val="0"/>
                    </w:numPr>
                    <w:tabs>
                      <w:tab w:val="left" w:pos="708" w:leader="none"/>
                      <w:tab w:val="left" w:pos="1077" w:leader="none"/>
                      <w:tab w:val="left" w:pos="1576" w:leader="none"/>
                    </w:tabs>
                    <w:spacing w:lineRule="auto" w:line="240" w:before="40" w:after="40"/>
                    <w:ind w:left="284" w:hanging="0"/>
                    <w:jc w:val="left"/>
                    <w:rPr/>
                  </w:pPr>
                  <w:r>
                    <w:rPr>
                      <w:sz w:val="18"/>
                      <w:szCs w:val="18"/>
                    </w:rPr>
                    <w:t xml:space="preserve">более </w:t>
                  </w:r>
                </w:p>
                <w:p>
                  <w:pPr>
                    <w:pStyle w:val="-1"/>
                    <w:widowControl w:val="false"/>
                    <w:numPr>
                      <w:ilvl w:val="0"/>
                      <w:numId w:val="0"/>
                    </w:numPr>
                    <w:tabs>
                      <w:tab w:val="left" w:pos="708" w:leader="none"/>
                      <w:tab w:val="left" w:pos="1077" w:leader="none"/>
                      <w:tab w:val="left" w:pos="1576" w:leader="none"/>
                    </w:tabs>
                    <w:spacing w:lineRule="auto" w:line="240" w:before="40" w:after="40"/>
                    <w:ind w:left="284" w:hanging="0"/>
                    <w:jc w:val="left"/>
                    <w:rPr/>
                  </w:pPr>
                  <w:r>
                    <w:rPr>
                      <w:sz w:val="18"/>
                      <w:szCs w:val="18"/>
                    </w:rPr>
                    <w:t>80% руб. без НДС</w:t>
                  </w:r>
                  <w:r>
                    <w:rPr>
                      <w:sz w:val="18"/>
                      <w:szCs w:val="26"/>
                      <w:lang w:eastAsia="ru-RU"/>
                    </w:rPr>
                    <w:t xml:space="preserve"> от НМЦ лота</w:t>
                  </w:r>
                  <w:r>
                    <w:rPr>
                      <w:sz w:val="18"/>
                      <w:szCs w:val="18"/>
                    </w:rPr>
                    <w:t>.</w:t>
                  </w:r>
                </w:p>
              </w:tc>
            </w:tr>
          </w:tbl>
          <w:p>
            <w:pPr>
              <w:pStyle w:val="Normal"/>
              <w:widowControl w:val="false"/>
              <w:suppressAutoHyphens w:val="true"/>
              <w:snapToGrid w:val="false"/>
              <w:spacing w:lineRule="auto" w:line="252" w:before="96" w:after="96"/>
              <w:rPr>
                <w:rFonts w:eastAsia="Calibri"/>
                <w:sz w:val="18"/>
                <w:szCs w:val="18"/>
              </w:rPr>
            </w:pPr>
            <w:r>
              <w:rPr>
                <w:rFonts w:eastAsia="Calibri" w:cs="Times New Roman"/>
                <w:kern w:val="0"/>
                <w:sz w:val="18"/>
                <w:szCs w:val="18"/>
                <w:lang w:val="ru-RU" w:eastAsia="ru-RU" w:bidi="ar-SA"/>
              </w:rPr>
              <w:t>Где:</w:t>
            </w:r>
          </w:p>
          <w:p>
            <w:pPr>
              <w:pStyle w:val="Normal"/>
              <w:widowControl w:val="false"/>
              <w:suppressAutoHyphens w:val="true"/>
              <w:snapToGrid w:val="false"/>
              <w:spacing w:lineRule="auto" w:line="252" w:before="96" w:after="96"/>
              <w:rPr>
                <w:rFonts w:eastAsia="Calibri"/>
                <w:sz w:val="18"/>
                <w:szCs w:val="18"/>
              </w:rPr>
            </w:pPr>
            <w:r>
              <w:rPr>
                <w:rFonts w:eastAsia="Calibri" w:cs="Times New Roman"/>
                <w:kern w:val="0"/>
                <w:sz w:val="18"/>
                <w:szCs w:val="18"/>
                <w:lang w:val="ru-RU" w:eastAsia="ru-RU" w:bidi="ar-SA"/>
              </w:rPr>
              <w:t>Б</w:t>
            </w:r>
            <w:r>
              <w:rPr>
                <w:rFonts w:eastAsia="Calibri" w:cs="Times New Roman"/>
                <w:kern w:val="0"/>
                <w:sz w:val="18"/>
                <w:szCs w:val="18"/>
                <w:vertAlign w:val="subscript"/>
                <w:lang w:val="ru-RU" w:eastAsia="ru-RU" w:bidi="ar-SA"/>
              </w:rPr>
              <w:t>2</w:t>
            </w:r>
            <w:r>
              <w:rPr>
                <w:rFonts w:eastAsia="Calibri" w:cs="Times New Roman"/>
                <w:kern w:val="0"/>
                <w:sz w:val="18"/>
                <w:szCs w:val="18"/>
                <w:lang w:val="ru-RU" w:eastAsia="ru-RU" w:bidi="ar-SA"/>
              </w:rPr>
              <w:tab/>
              <w:t>–</w:t>
              <w:tab/>
              <w:t>рассчитанная оценка предпочтительности по частному критерию оценки в баллах;</w:t>
            </w:r>
          </w:p>
          <w:p>
            <w:pPr>
              <w:pStyle w:val="Normal"/>
              <w:widowControl w:val="false"/>
              <w:suppressAutoHyphens w:val="true"/>
              <w:spacing w:lineRule="auto" w:line="252" w:before="96" w:after="96"/>
              <w:rPr>
                <w:rFonts w:eastAsia="Calibri"/>
                <w:sz w:val="18"/>
                <w:szCs w:val="18"/>
              </w:rPr>
            </w:pPr>
            <w:r>
              <w:rPr>
                <w:rFonts w:eastAsia="Calibri" w:cs="Times New Roman"/>
                <w:kern w:val="0"/>
                <w:sz w:val="18"/>
                <w:szCs w:val="18"/>
                <w:lang w:val="ru-RU" w:eastAsia="ru-RU" w:bidi="ar-SA"/>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pPr>
              <w:pStyle w:val="Style19"/>
              <w:widowControl w:val="false"/>
              <w:numPr>
                <w:ilvl w:val="0"/>
                <w:numId w:val="0"/>
              </w:numPr>
              <w:suppressAutoHyphens w:val="true"/>
              <w:ind w:left="0" w:hanging="0"/>
              <w:rPr>
                <w:lang w:eastAsia="ru-RU"/>
              </w:rPr>
            </w:pPr>
            <w:r>
              <w:rPr>
                <w:rFonts w:eastAsia="Calibri" w:cs="Times New Roman"/>
                <w:kern w:val="0"/>
                <w:sz w:val="18"/>
                <w:szCs w:val="18"/>
                <w:lang w:val="ru-RU" w:bidi="ar-SA"/>
              </w:rPr>
              <w:t>Шкала оценок от 0 до 5 баллов.</w:t>
            </w:r>
          </w:p>
        </w:tc>
      </w:tr>
      <w:tr>
        <w:trPr/>
        <w:tc>
          <w:tcPr>
            <w:tcW w:w="1100" w:type="dxa"/>
            <w:tcBorders>
              <w:top w:val="nil"/>
            </w:tcBorders>
          </w:tcPr>
          <w:p>
            <w:pPr>
              <w:pStyle w:val="32"/>
              <w:widowControl w:val="false"/>
              <w:numPr>
                <w:ilvl w:val="7"/>
                <w:numId w:val="4"/>
              </w:numPr>
              <w:suppressAutoHyphens w:val="true"/>
              <w:spacing w:lineRule="auto" w:line="240" w:before="40" w:after="40"/>
              <w:jc w:val="center"/>
              <w:rPr>
                <w:sz w:val="18"/>
                <w:szCs w:val="18"/>
                <w:lang w:eastAsia="ru-RU"/>
              </w:rPr>
            </w:pPr>
            <w:r>
              <w:rPr>
                <w:rFonts w:cs="Times New Roman"/>
                <w:kern w:val="0"/>
                <w:sz w:val="18"/>
                <w:szCs w:val="18"/>
                <w:lang w:val="en-US" w:eastAsia="ru-RU" w:bidi="ar-SA"/>
              </w:rPr>
              <w:t>3.</w:t>
            </w:r>
          </w:p>
        </w:tc>
        <w:tc>
          <w:tcPr>
            <w:tcW w:w="1417" w:type="dxa"/>
            <w:tcBorders>
              <w:top w:val="nil"/>
            </w:tcBorders>
          </w:tcPr>
          <w:p>
            <w:pPr>
              <w:pStyle w:val="32"/>
              <w:widowControl w:val="false"/>
              <w:numPr>
                <w:ilvl w:val="0"/>
                <w:numId w:val="0"/>
              </w:numPr>
              <w:suppressAutoHyphens w:val="true"/>
              <w:spacing w:lineRule="auto" w:line="240" w:before="40" w:after="40"/>
              <w:ind w:left="0" w:hanging="0"/>
              <w:jc w:val="center"/>
              <w:rPr>
                <w:sz w:val="18"/>
                <w:szCs w:val="18"/>
                <w:lang w:eastAsia="ru-RU"/>
              </w:rPr>
            </w:pPr>
            <w:r>
              <w:rPr>
                <w:rFonts w:cs="Times New Roman"/>
                <w:kern w:val="0"/>
                <w:sz w:val="18"/>
                <w:szCs w:val="18"/>
                <w:lang w:val="ru-RU" w:eastAsia="ru-RU" w:bidi="ar-SA"/>
              </w:rPr>
              <w:t>Неценовой критерий оценки первого уровня / ТЕХ</w:t>
            </w:r>
          </w:p>
        </w:tc>
        <w:tc>
          <w:tcPr>
            <w:tcW w:w="1419" w:type="dxa"/>
            <w:tcBorders>
              <w:top w:val="nil"/>
            </w:tcBorders>
          </w:tcPr>
          <w:p>
            <w:pPr>
              <w:pStyle w:val="32"/>
              <w:widowControl w:val="false"/>
              <w:numPr>
                <w:ilvl w:val="0"/>
                <w:numId w:val="0"/>
              </w:numPr>
              <w:suppressAutoHyphens w:val="true"/>
              <w:spacing w:lineRule="auto" w:line="240" w:before="40" w:after="40"/>
              <w:ind w:left="0" w:hanging="0"/>
              <w:jc w:val="center"/>
              <w:rPr>
                <w:sz w:val="18"/>
                <w:szCs w:val="18"/>
                <w:lang w:eastAsia="ru-RU"/>
              </w:rPr>
            </w:pPr>
            <w:r>
              <w:rPr>
                <w:rFonts w:cs="Times New Roman"/>
                <w:kern w:val="0"/>
                <w:sz w:val="18"/>
                <w:szCs w:val="18"/>
                <w:lang w:val="ru-RU" w:eastAsia="ru-RU" w:bidi="ar-SA"/>
              </w:rPr>
              <w:t>Квалификация кадровых ресурсов Участника</w:t>
            </w:r>
            <w:r>
              <w:rPr>
                <w:rFonts w:cs="Times New Roman"/>
                <w:i/>
                <w:kern w:val="0"/>
                <w:sz w:val="18"/>
                <w:szCs w:val="18"/>
                <w:lang w:val="ru-RU" w:eastAsia="ru-RU" w:bidi="ar-SA"/>
              </w:rPr>
              <w:t xml:space="preserve">  </w:t>
            </w:r>
          </w:p>
        </w:tc>
        <w:tc>
          <w:tcPr>
            <w:tcW w:w="1416" w:type="dxa"/>
            <w:tcBorders>
              <w:top w:val="nil"/>
            </w:tcBorders>
          </w:tcPr>
          <w:p>
            <w:pPr>
              <w:pStyle w:val="32"/>
              <w:widowControl w:val="false"/>
              <w:numPr>
                <w:ilvl w:val="0"/>
                <w:numId w:val="0"/>
              </w:numPr>
              <w:suppressAutoHyphens w:val="true"/>
              <w:spacing w:lineRule="auto" w:line="240" w:before="40" w:after="40"/>
              <w:ind w:left="0" w:hanging="0"/>
              <w:jc w:val="center"/>
              <w:rPr>
                <w:sz w:val="18"/>
                <w:szCs w:val="18"/>
                <w:lang w:eastAsia="ru-RU"/>
              </w:rPr>
            </w:pPr>
            <w:r>
              <w:rPr>
                <w:rFonts w:cs="Times New Roman"/>
                <w:i/>
                <w:kern w:val="0"/>
                <w:sz w:val="18"/>
                <w:szCs w:val="18"/>
                <w:lang w:val="ru-RU" w:eastAsia="ru-RU" w:bidi="ar-SA"/>
              </w:rPr>
              <w:t>отсутствует</w:t>
            </w:r>
          </w:p>
        </w:tc>
        <w:tc>
          <w:tcPr>
            <w:tcW w:w="1135" w:type="dxa"/>
            <w:tcBorders>
              <w:top w:val="nil"/>
            </w:tcBorders>
          </w:tcPr>
          <w:p>
            <w:pPr>
              <w:pStyle w:val="32"/>
              <w:widowControl w:val="false"/>
              <w:numPr>
                <w:ilvl w:val="0"/>
                <w:numId w:val="0"/>
              </w:numPr>
              <w:suppressAutoHyphens w:val="true"/>
              <w:spacing w:lineRule="auto" w:line="240" w:before="40" w:after="40"/>
              <w:ind w:left="0" w:hanging="0"/>
              <w:jc w:val="center"/>
              <w:rPr>
                <w:sz w:val="18"/>
                <w:szCs w:val="18"/>
                <w:lang w:eastAsia="ru-RU"/>
              </w:rPr>
            </w:pPr>
            <w:r>
              <w:rPr>
                <w:rFonts w:cs="Times New Roman"/>
                <w:kern w:val="0"/>
                <w:sz w:val="18"/>
                <w:szCs w:val="18"/>
                <w:lang w:val="ru-RU" w:eastAsia="ru-RU" w:bidi="ar-SA"/>
              </w:rPr>
              <w:t>5%</w:t>
              <w:br/>
              <w:t>(В</w:t>
            </w:r>
            <w:r>
              <w:rPr>
                <w:rFonts w:cs="Times New Roman"/>
                <w:kern w:val="0"/>
                <w:sz w:val="18"/>
                <w:szCs w:val="18"/>
                <w:vertAlign w:val="subscript"/>
                <w:lang w:val="en-US" w:eastAsia="ru-RU" w:bidi="ar-SA"/>
              </w:rPr>
              <w:t>3</w:t>
            </w:r>
            <w:r>
              <w:rPr>
                <w:rFonts w:cs="Times New Roman"/>
                <w:kern w:val="0"/>
                <w:sz w:val="18"/>
                <w:szCs w:val="18"/>
                <w:lang w:val="ru-RU" w:eastAsia="ru-RU" w:bidi="ar-SA"/>
              </w:rPr>
              <w:t xml:space="preserve"> = 0,</w:t>
            </w:r>
            <w:r>
              <w:rPr>
                <w:rFonts w:cs="Times New Roman"/>
                <w:kern w:val="0"/>
                <w:sz w:val="18"/>
                <w:szCs w:val="18"/>
                <w:lang w:val="en-US" w:eastAsia="ru-RU" w:bidi="ar-SA"/>
              </w:rPr>
              <w:t>0</w:t>
            </w:r>
            <w:r>
              <w:rPr>
                <w:rFonts w:cs="Times New Roman"/>
                <w:kern w:val="0"/>
                <w:sz w:val="18"/>
                <w:szCs w:val="18"/>
                <w:lang w:val="ru-RU" w:eastAsia="ru-RU" w:bidi="ar-SA"/>
              </w:rPr>
              <w:t>5)</w:t>
            </w:r>
          </w:p>
        </w:tc>
        <w:tc>
          <w:tcPr>
            <w:tcW w:w="1842" w:type="dxa"/>
            <w:tcBorders>
              <w:top w:val="nil"/>
            </w:tcBorders>
          </w:tcPr>
          <w:p>
            <w:pPr>
              <w:pStyle w:val="32"/>
              <w:widowControl w:val="false"/>
              <w:numPr>
                <w:ilvl w:val="0"/>
                <w:numId w:val="0"/>
              </w:numPr>
              <w:suppressAutoHyphens w:val="true"/>
              <w:spacing w:lineRule="auto" w:line="240" w:before="40" w:after="40"/>
              <w:ind w:left="0" w:hanging="0"/>
              <w:jc w:val="center"/>
              <w:rPr>
                <w:sz w:val="18"/>
                <w:szCs w:val="18"/>
                <w:lang w:eastAsia="ru-RU"/>
              </w:rPr>
            </w:pPr>
            <w:r>
              <w:rPr>
                <w:rFonts w:cs="Times New Roman"/>
                <w:kern w:val="0"/>
                <w:sz w:val="18"/>
                <w:szCs w:val="18"/>
                <w:lang w:val="ru-RU" w:eastAsia="ru-RU" w:bidi="ar-SA"/>
              </w:rPr>
              <w:t>Чем выше квалификация персонала Участника, тем выше предпочтительность</w:t>
            </w:r>
          </w:p>
        </w:tc>
        <w:tc>
          <w:tcPr>
            <w:tcW w:w="6684" w:type="dxa"/>
            <w:tcBorders>
              <w:top w:val="nil"/>
            </w:tcBorders>
          </w:tcPr>
          <w:p>
            <w:pPr>
              <w:pStyle w:val="32"/>
              <w:widowControl w:val="false"/>
              <w:numPr>
                <w:ilvl w:val="0"/>
                <w:numId w:val="0"/>
              </w:numPr>
              <w:suppressAutoHyphens w:val="true"/>
              <w:spacing w:lineRule="auto" w:line="240" w:before="96" w:after="96"/>
              <w:ind w:left="0" w:hanging="0"/>
              <w:jc w:val="left"/>
              <w:rPr>
                <w:sz w:val="18"/>
                <w:szCs w:val="18"/>
                <w:lang w:eastAsia="ru-RU"/>
              </w:rPr>
            </w:pPr>
            <w:r>
              <w:rPr>
                <w:rFonts w:cs="Times New Roman"/>
                <w:kern w:val="0"/>
                <w:sz w:val="18"/>
                <w:szCs w:val="18"/>
                <w:lang w:val="ru-RU" w:eastAsia="ru-RU" w:bidi="ar-SA"/>
              </w:rPr>
              <w:t>Расчет оценки предпочтительности по частному критерию по методу «</w:t>
            </w:r>
            <w:r>
              <w:rPr>
                <w:rFonts w:cs="Times New Roman"/>
                <w:kern w:val="0"/>
                <w:sz w:val="18"/>
                <w:szCs w:val="18"/>
                <w:lang w:val="ru-RU" w:bidi="ar-SA"/>
              </w:rPr>
              <w:t>Оценка предпочтительности посредством однозначной числовой шкалы измерений</w:t>
            </w:r>
            <w:r>
              <w:rPr>
                <w:rFonts w:cs="Times New Roman"/>
                <w:kern w:val="0"/>
                <w:sz w:val="18"/>
                <w:szCs w:val="18"/>
                <w:lang w:val="ru-RU" w:eastAsia="ru-RU" w:bidi="ar-SA"/>
              </w:rPr>
              <w:t>»:</w:t>
            </w:r>
          </w:p>
          <w:p>
            <w:pPr>
              <w:pStyle w:val="32"/>
              <w:widowControl w:val="false"/>
              <w:numPr>
                <w:ilvl w:val="0"/>
                <w:numId w:val="0"/>
              </w:numPr>
              <w:pBdr>
                <w:top w:val="single" w:sz="4" w:space="1" w:color="000000"/>
                <w:left w:val="single" w:sz="4" w:space="4" w:color="000000"/>
                <w:right w:val="single" w:sz="4" w:space="4" w:color="000000"/>
              </w:pBdr>
              <w:suppressAutoHyphens w:val="true"/>
              <w:spacing w:lineRule="auto" w:line="240" w:before="0" w:after="40"/>
              <w:ind w:left="0" w:hanging="0"/>
              <w:rPr>
                <w:sz w:val="18"/>
                <w:szCs w:val="18"/>
                <w:lang w:eastAsia="ru-RU"/>
              </w:rPr>
            </w:pPr>
            <w:bookmarkStart w:id="0" w:name="_Hlk143620326"/>
            <w:r>
              <w:rPr>
                <w:rFonts w:cs="Times New Roman"/>
                <w:kern w:val="0"/>
                <w:sz w:val="18"/>
                <w:szCs w:val="18"/>
                <w:lang w:val="ru-RU" w:eastAsia="ru-RU" w:bidi="ar-SA"/>
              </w:rPr>
              <w:t>Для целей проведения оценки по данному критерию Участник должен подтвердить соответствие квалификации персонала, участвующего в СМР (демонтаж) на территории Заказчика, требованиям НТД:</w:t>
            </w:r>
          </w:p>
          <w:p>
            <w:pPr>
              <w:pStyle w:val="32"/>
              <w:widowControl w:val="false"/>
              <w:numPr>
                <w:ilvl w:val="0"/>
                <w:numId w:val="0"/>
              </w:numPr>
              <w:pBdr>
                <w:top w:val="single" w:sz="4" w:space="1" w:color="000000"/>
                <w:left w:val="single" w:sz="4" w:space="4" w:color="000000"/>
                <w:right w:val="single" w:sz="4" w:space="4" w:color="000000"/>
              </w:pBdr>
              <w:suppressAutoHyphens w:val="true"/>
              <w:spacing w:lineRule="auto" w:line="240" w:before="0" w:after="40"/>
              <w:ind w:left="0" w:hanging="0"/>
              <w:rPr>
                <w:sz w:val="18"/>
                <w:szCs w:val="18"/>
                <w:lang w:eastAsia="ru-RU"/>
              </w:rPr>
            </w:pPr>
            <w:r>
              <w:rPr>
                <w:rFonts w:cs="Times New Roman"/>
                <w:kern w:val="0"/>
                <w:sz w:val="18"/>
                <w:szCs w:val="18"/>
                <w:lang w:val="ru-RU" w:eastAsia="ru-RU" w:bidi="ar-SA"/>
              </w:rPr>
              <w:t>1. При наличии в организации постоянно действующей экзаменационной комиссии (ПДЭК) представить до заключения договора:</w:t>
            </w:r>
          </w:p>
          <w:p>
            <w:pPr>
              <w:pStyle w:val="32"/>
              <w:widowControl w:val="false"/>
              <w:numPr>
                <w:ilvl w:val="0"/>
                <w:numId w:val="0"/>
              </w:numPr>
              <w:pBdr>
                <w:top w:val="single" w:sz="4" w:space="1" w:color="000000"/>
                <w:left w:val="single" w:sz="4" w:space="4" w:color="000000"/>
                <w:right w:val="single" w:sz="4" w:space="4" w:color="000000"/>
              </w:pBdr>
              <w:suppressAutoHyphens w:val="true"/>
              <w:spacing w:lineRule="auto" w:line="240" w:before="0" w:after="40"/>
              <w:ind w:left="0" w:hanging="0"/>
              <w:rPr>
                <w:sz w:val="18"/>
                <w:szCs w:val="18"/>
                <w:lang w:eastAsia="ru-RU"/>
              </w:rPr>
            </w:pPr>
            <w:r>
              <w:rPr>
                <w:rFonts w:cs="Times New Roman"/>
                <w:kern w:val="0"/>
                <w:sz w:val="18"/>
                <w:szCs w:val="18"/>
                <w:lang w:val="ru-RU" w:eastAsia="ru-RU" w:bidi="ar-SA"/>
              </w:rPr>
              <w:t>1.1. копию приказа о создании комиссии по проверке знаний правил устройства электроустановок (далее ПУЭ), правил технической эксплуатации электрических станций и сетей РФ (далее ПТЭЭСиС), правил по охране труда при эксплуатации электроустановок (далее ПОТЭУ), правил пожарной безопасности (далее ППБ) в организации ;</w:t>
            </w:r>
          </w:p>
          <w:p>
            <w:pPr>
              <w:pStyle w:val="32"/>
              <w:widowControl w:val="false"/>
              <w:numPr>
                <w:ilvl w:val="0"/>
                <w:numId w:val="0"/>
              </w:numPr>
              <w:pBdr>
                <w:top w:val="single" w:sz="4" w:space="1" w:color="000000"/>
                <w:left w:val="single" w:sz="4" w:space="4" w:color="000000"/>
                <w:right w:val="single" w:sz="4" w:space="4" w:color="000000"/>
              </w:pBdr>
              <w:suppressAutoHyphens w:val="true"/>
              <w:spacing w:lineRule="auto" w:line="240" w:before="0" w:after="40"/>
              <w:ind w:left="0" w:hanging="0"/>
              <w:rPr>
                <w:sz w:val="18"/>
                <w:szCs w:val="18"/>
                <w:lang w:eastAsia="ru-RU"/>
              </w:rPr>
            </w:pPr>
            <w:r>
              <w:rPr>
                <w:rFonts w:cs="Times New Roman"/>
                <w:kern w:val="0"/>
                <w:sz w:val="18"/>
                <w:szCs w:val="18"/>
                <w:lang w:val="ru-RU" w:eastAsia="ru-RU" w:bidi="ar-SA"/>
              </w:rPr>
              <w:t>1.2. копии протоколов проверки знаний членов ПДЭК в комиссии Ростехнадзора по ПУЭ, ПТЭЭСиС, ПОТЭУ, ППБ, оформленных по форме Приложения № 2 ПРП;</w:t>
            </w:r>
          </w:p>
          <w:p>
            <w:pPr>
              <w:pStyle w:val="32"/>
              <w:widowControl w:val="false"/>
              <w:numPr>
                <w:ilvl w:val="0"/>
                <w:numId w:val="0"/>
              </w:numPr>
              <w:pBdr>
                <w:top w:val="single" w:sz="4" w:space="1" w:color="000000"/>
                <w:left w:val="single" w:sz="4" w:space="4" w:color="000000"/>
                <w:right w:val="single" w:sz="4" w:space="4" w:color="000000"/>
              </w:pBdr>
              <w:suppressAutoHyphens w:val="true"/>
              <w:spacing w:lineRule="auto" w:line="240" w:before="0" w:after="40"/>
              <w:ind w:left="0" w:hanging="0"/>
              <w:rPr>
                <w:sz w:val="18"/>
                <w:szCs w:val="18"/>
                <w:lang w:eastAsia="ru-RU"/>
              </w:rPr>
            </w:pPr>
            <w:r>
              <w:rPr>
                <w:rFonts w:cs="Times New Roman"/>
                <w:kern w:val="0"/>
                <w:sz w:val="18"/>
                <w:szCs w:val="18"/>
                <w:lang w:val="ru-RU" w:eastAsia="ru-RU" w:bidi="ar-SA"/>
              </w:rPr>
              <w:t>1.3. копии протоколов проверки знаний (в ПДЭК организации) на персонал, выполняющий работы на территории ГЭС, по ПУЭ, ПТЭЭСиС, ПОТЭУ, ППБ, оформленных по форме Приложения № 2 ПРП;</w:t>
            </w:r>
          </w:p>
          <w:p>
            <w:pPr>
              <w:pStyle w:val="32"/>
              <w:widowControl w:val="false"/>
              <w:numPr>
                <w:ilvl w:val="0"/>
                <w:numId w:val="0"/>
              </w:numPr>
              <w:pBdr>
                <w:top w:val="single" w:sz="4" w:space="1" w:color="000000"/>
                <w:left w:val="single" w:sz="4" w:space="4" w:color="000000"/>
                <w:right w:val="single" w:sz="4" w:space="4" w:color="000000"/>
              </w:pBdr>
              <w:suppressAutoHyphens w:val="true"/>
              <w:spacing w:lineRule="auto" w:line="240" w:before="0" w:after="40"/>
              <w:ind w:left="0" w:hanging="0"/>
              <w:rPr>
                <w:sz w:val="18"/>
                <w:szCs w:val="18"/>
                <w:lang w:eastAsia="ru-RU"/>
              </w:rPr>
            </w:pPr>
            <w:r>
              <w:rPr>
                <w:rFonts w:cs="Times New Roman"/>
                <w:kern w:val="0"/>
                <w:sz w:val="18"/>
                <w:szCs w:val="18"/>
                <w:lang w:val="ru-RU" w:eastAsia="ru-RU" w:bidi="ar-SA"/>
              </w:rPr>
              <w:t>1.4. копии удостоверений персонала, выполняющего работы, оформленные по форме Приложения № 5 ПРП;</w:t>
            </w:r>
          </w:p>
          <w:p>
            <w:pPr>
              <w:pStyle w:val="32"/>
              <w:widowControl w:val="false"/>
              <w:numPr>
                <w:ilvl w:val="0"/>
                <w:numId w:val="0"/>
              </w:numPr>
              <w:pBdr>
                <w:top w:val="single" w:sz="4" w:space="1" w:color="000000"/>
                <w:left w:val="single" w:sz="4" w:space="4" w:color="000000"/>
                <w:right w:val="single" w:sz="4" w:space="4" w:color="000000"/>
              </w:pBdr>
              <w:suppressAutoHyphens w:val="true"/>
              <w:spacing w:lineRule="auto" w:line="240" w:before="0" w:after="40"/>
              <w:ind w:left="0" w:hanging="0"/>
              <w:rPr>
                <w:sz w:val="18"/>
                <w:szCs w:val="18"/>
                <w:lang w:eastAsia="ru-RU"/>
              </w:rPr>
            </w:pPr>
            <w:r>
              <w:rPr>
                <w:rFonts w:cs="Times New Roman"/>
                <w:kern w:val="0"/>
                <w:sz w:val="18"/>
                <w:szCs w:val="18"/>
                <w:lang w:val="ru-RU" w:eastAsia="ru-RU" w:bidi="ar-SA"/>
              </w:rPr>
              <w:t>1.5. при отсутствии в организации ПДЭК предоставить копии протоколов проверки знаний в комиссии Ростехнадзора на персонал, выполняющий работы на территории ГЭС, по ПУЭ, ПТЭЭСиС, ПОТЭУ, ППБ, оформленных по форме Приложения № 2 ПРП.</w:t>
            </w:r>
          </w:p>
          <w:p>
            <w:pPr>
              <w:pStyle w:val="32"/>
              <w:widowControl w:val="false"/>
              <w:numPr>
                <w:ilvl w:val="0"/>
                <w:numId w:val="0"/>
              </w:numPr>
              <w:pBdr>
                <w:top w:val="single" w:sz="4" w:space="1" w:color="000000"/>
                <w:left w:val="single" w:sz="4" w:space="4" w:color="000000"/>
                <w:right w:val="single" w:sz="4" w:space="4" w:color="000000"/>
              </w:pBdr>
              <w:suppressAutoHyphens w:val="true"/>
              <w:spacing w:lineRule="auto" w:line="240" w:before="0" w:after="40"/>
              <w:ind w:left="0" w:hanging="0"/>
              <w:rPr>
                <w:sz w:val="18"/>
                <w:szCs w:val="18"/>
                <w:lang w:eastAsia="ru-RU"/>
              </w:rPr>
            </w:pPr>
            <w:r>
              <w:rPr>
                <w:rFonts w:cs="Times New Roman"/>
                <w:kern w:val="0"/>
                <w:sz w:val="18"/>
                <w:szCs w:val="18"/>
                <w:lang w:val="ru-RU" w:eastAsia="ru-RU" w:bidi="ar-SA"/>
              </w:rPr>
              <w:t>2. При наличии в организации постоянно действующей аттестационной комиссии по аттестации в области промышленной безопасности (далее - ПДАК) представить до заключения договора:</w:t>
            </w:r>
          </w:p>
          <w:p>
            <w:pPr>
              <w:pStyle w:val="32"/>
              <w:widowControl w:val="false"/>
              <w:numPr>
                <w:ilvl w:val="0"/>
                <w:numId w:val="0"/>
              </w:numPr>
              <w:pBdr>
                <w:top w:val="single" w:sz="4" w:space="1" w:color="000000"/>
                <w:left w:val="single" w:sz="4" w:space="4" w:color="000000"/>
                <w:right w:val="single" w:sz="4" w:space="4" w:color="000000"/>
              </w:pBdr>
              <w:suppressAutoHyphens w:val="true"/>
              <w:spacing w:lineRule="auto" w:line="240" w:before="0" w:after="40"/>
              <w:ind w:left="0" w:hanging="0"/>
              <w:rPr>
                <w:sz w:val="18"/>
                <w:szCs w:val="18"/>
                <w:lang w:eastAsia="ru-RU"/>
              </w:rPr>
            </w:pPr>
            <w:r>
              <w:rPr>
                <w:rFonts w:cs="Times New Roman"/>
                <w:kern w:val="0"/>
                <w:sz w:val="18"/>
                <w:szCs w:val="18"/>
                <w:lang w:val="ru-RU" w:eastAsia="ru-RU" w:bidi="ar-SA"/>
              </w:rPr>
              <w:t>2.1. копию приказа о создании ПДАК;</w:t>
            </w:r>
          </w:p>
          <w:p>
            <w:pPr>
              <w:pStyle w:val="32"/>
              <w:widowControl w:val="false"/>
              <w:numPr>
                <w:ilvl w:val="0"/>
                <w:numId w:val="0"/>
              </w:numPr>
              <w:pBdr>
                <w:top w:val="single" w:sz="4" w:space="1" w:color="000000"/>
                <w:left w:val="single" w:sz="4" w:space="4" w:color="000000"/>
                <w:right w:val="single" w:sz="4" w:space="4" w:color="000000"/>
              </w:pBdr>
              <w:suppressAutoHyphens w:val="true"/>
              <w:spacing w:lineRule="auto" w:line="240" w:before="0" w:after="40"/>
              <w:ind w:left="0" w:hanging="0"/>
              <w:rPr>
                <w:sz w:val="18"/>
                <w:szCs w:val="18"/>
                <w:lang w:eastAsia="ru-RU"/>
              </w:rPr>
            </w:pPr>
            <w:r>
              <w:rPr>
                <w:rFonts w:cs="Times New Roman"/>
                <w:kern w:val="0"/>
                <w:sz w:val="18"/>
                <w:szCs w:val="18"/>
                <w:lang w:val="ru-RU" w:eastAsia="ru-RU" w:bidi="ar-SA"/>
              </w:rPr>
              <w:t>2.2. копии выписок из протоколов (копии протоколов) по аттестации членов ПДАК в аттестационной комиссии Ростехнадзора, главной аттестационной комиссии (при наличии), по следующим областям аттестации: А.1, В.2 (Д.2), Б.9.3 (Б.9.31);</w:t>
            </w:r>
          </w:p>
          <w:p>
            <w:pPr>
              <w:pStyle w:val="32"/>
              <w:widowControl w:val="false"/>
              <w:numPr>
                <w:ilvl w:val="0"/>
                <w:numId w:val="0"/>
              </w:numPr>
              <w:pBdr>
                <w:top w:val="single" w:sz="4" w:space="1" w:color="000000"/>
                <w:left w:val="single" w:sz="4" w:space="4" w:color="000000"/>
                <w:right w:val="single" w:sz="4" w:space="4" w:color="000000"/>
              </w:pBdr>
              <w:suppressAutoHyphens w:val="true"/>
              <w:spacing w:lineRule="auto" w:line="240" w:before="0" w:after="40"/>
              <w:ind w:left="0" w:hanging="0"/>
              <w:rPr>
                <w:sz w:val="18"/>
                <w:szCs w:val="18"/>
                <w:lang w:eastAsia="ru-RU"/>
              </w:rPr>
            </w:pPr>
            <w:r>
              <w:rPr>
                <w:rFonts w:cs="Times New Roman"/>
                <w:kern w:val="0"/>
                <w:sz w:val="18"/>
                <w:szCs w:val="18"/>
                <w:lang w:val="ru-RU" w:eastAsia="ru-RU" w:bidi="ar-SA"/>
              </w:rPr>
              <w:t>2.3. копии выписок из протоколов (копии протоколов) по аттестации в области промышленной безопасности в ПДАК организации на руководителей и специалистов организации, которые будут непосредственно выполнять работы в качестве ответственных руководителей по наряду (области аттестации в соответствии с п. 2.2.);</w:t>
            </w:r>
          </w:p>
          <w:p>
            <w:pPr>
              <w:pStyle w:val="32"/>
              <w:widowControl w:val="false"/>
              <w:numPr>
                <w:ilvl w:val="0"/>
                <w:numId w:val="0"/>
              </w:numPr>
              <w:pBdr>
                <w:top w:val="single" w:sz="4" w:space="1" w:color="000000"/>
                <w:left w:val="single" w:sz="4" w:space="4" w:color="000000"/>
                <w:right w:val="single" w:sz="4" w:space="4" w:color="000000"/>
              </w:pBdr>
              <w:suppressAutoHyphens w:val="true"/>
              <w:spacing w:lineRule="auto" w:line="240" w:before="0" w:after="40"/>
              <w:ind w:left="0" w:hanging="0"/>
              <w:rPr>
                <w:sz w:val="18"/>
                <w:szCs w:val="18"/>
                <w:lang w:eastAsia="ru-RU"/>
              </w:rPr>
            </w:pPr>
            <w:r>
              <w:rPr>
                <w:rFonts w:cs="Times New Roman"/>
                <w:kern w:val="0"/>
                <w:sz w:val="18"/>
                <w:szCs w:val="18"/>
                <w:lang w:val="ru-RU" w:eastAsia="ru-RU" w:bidi="ar-SA"/>
              </w:rPr>
              <w:t>2.4. при отсутствии в организации ПДАК копии протоколов аттестации (выписок из протоколов) в комиссии Ростехнадзора в области промышленной безопасности на руководителей и специалистов организации, которые будут непосредственно выполнять работы в качестве ответственных руководителей по наряду (области аттестации в соответствии с п. 2.2.).</w:t>
            </w:r>
          </w:p>
          <w:p>
            <w:pPr>
              <w:pStyle w:val="32"/>
              <w:widowControl w:val="false"/>
              <w:numPr>
                <w:ilvl w:val="0"/>
                <w:numId w:val="0"/>
              </w:numPr>
              <w:pBdr>
                <w:top w:val="single" w:sz="4" w:space="1" w:color="000000"/>
                <w:left w:val="single" w:sz="4" w:space="4" w:color="000000"/>
                <w:right w:val="single" w:sz="4" w:space="4" w:color="000000"/>
              </w:pBdr>
              <w:suppressAutoHyphens w:val="true"/>
              <w:spacing w:lineRule="auto" w:line="240" w:before="0" w:after="40"/>
              <w:ind w:left="0" w:hanging="0"/>
              <w:rPr>
                <w:sz w:val="18"/>
                <w:szCs w:val="18"/>
                <w:lang w:eastAsia="ru-RU"/>
              </w:rPr>
            </w:pPr>
            <w:r>
              <w:rPr>
                <w:rFonts w:cs="Times New Roman"/>
                <w:kern w:val="0"/>
                <w:sz w:val="18"/>
                <w:szCs w:val="18"/>
                <w:lang w:val="ru-RU" w:eastAsia="ru-RU" w:bidi="ar-SA"/>
              </w:rPr>
              <w:t>3. Представить до заключения договора заверенный руководителем организации список квалифицированного рабочего и административно-технического персонала, задействованного при проведении работ, с указанием групп по электробезопасности II  до 1000В с предоставлением копий удостоверений установленной формы о проверке знаний норм и правил работы в электроустановках.</w:t>
            </w:r>
          </w:p>
          <w:p>
            <w:pPr>
              <w:pStyle w:val="22"/>
              <w:widowControl w:val="false"/>
              <w:numPr>
                <w:ilvl w:val="0"/>
                <w:numId w:val="0"/>
              </w:numPr>
              <w:suppressAutoHyphens w:val="true"/>
              <w:spacing w:lineRule="auto" w:line="240" w:before="120" w:after="120"/>
              <w:ind w:left="0" w:hanging="0"/>
              <w:jc w:val="left"/>
              <w:rPr>
                <w:i/>
                <w:i/>
                <w:sz w:val="18"/>
                <w:szCs w:val="18"/>
                <w:lang w:eastAsia="ru-RU"/>
              </w:rPr>
            </w:pPr>
            <w:r>
              <w:rPr>
                <w:rFonts w:cs="Times New Roman"/>
                <w:kern w:val="0"/>
                <w:sz w:val="18"/>
                <w:szCs w:val="18"/>
                <w:lang w:val="ru-RU" w:eastAsia="ru-RU" w:bidi="ar-SA"/>
              </w:rPr>
              <w:t xml:space="preserve">Порядок осуществления оценки (значение оцениваемого параметра), в зависимости от предоставленных в </w:t>
            </w:r>
            <w:r>
              <w:rPr>
                <w:rFonts w:cs="Times New Roman"/>
                <w:i/>
                <w:kern w:val="0"/>
                <w:sz w:val="18"/>
                <w:szCs w:val="18"/>
                <w:lang w:val="en-US" w:eastAsia="ru-RU" w:bidi="ar-SA"/>
              </w:rPr>
              <w:t>i</w:t>
            </w:r>
            <w:r>
              <w:rPr>
                <w:rFonts w:cs="Times New Roman"/>
                <w:kern w:val="0"/>
                <w:sz w:val="18"/>
                <w:szCs w:val="18"/>
                <w:lang w:val="ru-RU" w:eastAsia="ru-RU" w:bidi="ar-SA"/>
              </w:rPr>
              <w:t>-ой заявке  сведений о персонале участника, подтверждающих соответствие установленным требованиям:</w:t>
            </w:r>
            <w:r>
              <w:fldChar w:fldCharType="begin"/>
            </w:r>
            <w:r>
              <w:rPr>
                <w:sz w:val="18"/>
                <w:kern w:val="0"/>
                <w:szCs w:val="18"/>
                <w:rFonts w:cs="Times New Roman"/>
                <w:lang w:val="ru-RU" w:eastAsia="ru-RU" w:bidi="ar-SA"/>
              </w:rPr>
              <w:instrText xml:space="preserve">QUOTE</w:instrText>
            </w:r>
            <w:r>
              <w:rPr>
                <w:rFonts w:cs="Times New Roman"/>
                <w:kern w:val="0"/>
                <w:sz w:val="18"/>
                <w:szCs w:val="18"/>
                <w:lang w:val="ru-RU" w:eastAsia="ru-RU" w:bidi="ar-SA"/>
              </w:rPr>
            </w:r>
            <w:r>
              <w:rPr>
                <w:rFonts w:cs="Times New Roman"/>
                <w:kern w:val="0"/>
                <w:lang w:val="ru-RU" w:bidi="ar-SA"/>
              </w:rPr>
              <w:drawing>
                <wp:inline distT="0" distB="0" distL="0" distR="0">
                  <wp:extent cx="933450" cy="295275"/>
                  <wp:effectExtent l="0" t="0" r="0" b="0"/>
                  <wp:docPr id="2" name="Рисунок 232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32 Копия 1" descr=""/>
                          <pic:cNvPicPr>
                            <a:picLocks noChangeAspect="1" noChangeArrowheads="1"/>
                          </pic:cNvPicPr>
                        </pic:nvPicPr>
                        <pic:blipFill>
                          <a:blip r:embed="rId3"/>
                          <a:stretch>
                            <a:fillRect/>
                          </a:stretch>
                        </pic:blipFill>
                        <pic:spPr bwMode="auto">
                          <a:xfrm>
                            <a:off x="0" y="0"/>
                            <a:ext cx="933450" cy="295275"/>
                          </a:xfrm>
                          <a:prstGeom prst="rect">
                            <a:avLst/>
                          </a:prstGeom>
                        </pic:spPr>
                      </pic:pic>
                    </a:graphicData>
                  </a:graphic>
                </wp:inline>
              </w:drawing>
            </w:r>
            <w:r>
              <w:rPr>
                <w:sz w:val="18"/>
                <w:kern w:val="0"/>
                <w:szCs w:val="18"/>
                <w:rFonts w:cs="Times New Roman"/>
                <w:lang w:val="ru-RU" w:bidi="ar-SA"/>
              </w:rPr>
              <w:fldChar w:fldCharType="separate"/>
            </w:r>
            <w:r>
              <w:rPr>
                <w:rFonts w:cs="Times New Roman"/>
                <w:kern w:val="0"/>
                <w:sz w:val="18"/>
                <w:szCs w:val="18"/>
                <w:lang w:val="ru-RU" w:bidi="ar-SA"/>
              </w:rPr>
            </w:r>
            <w:r/>
            <w:r>
              <w:rPr>
                <w:sz w:val="18"/>
                <w:kern w:val="0"/>
                <w:szCs w:val="18"/>
                <w:rFonts w:cs="Times New Roman"/>
                <w:lang w:val="ru-RU" w:bidi="ar-SA"/>
              </w:rPr>
              <w:fldChar w:fldCharType="end"/>
            </w:r>
            <w:r>
              <w:rPr>
                <w:rFonts w:cs="Times New Roman"/>
                <w:kern w:val="0"/>
                <w:sz w:val="18"/>
                <w:szCs w:val="18"/>
                <w:lang w:val="ru-RU" w:bidi="ar-SA"/>
              </w:rPr>
            </w:r>
            <w:bookmarkEnd w:id="0"/>
          </w:p>
          <w:tbl>
            <w:tblPr>
              <w:tblW w:w="616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62"/>
              <w:gridCol w:w="5201"/>
            </w:tblGrid>
            <w:tr>
              <w:trPr>
                <w:trHeight w:val="309" w:hRule="atLeast"/>
                <w:cantSplit w:val="true"/>
              </w:trPr>
              <w:tc>
                <w:tcPr>
                  <w:tcW w:w="962" w:type="dxa"/>
                  <w:tcBorders>
                    <w:bottom w:val="single" w:sz="8" w:space="0" w:color="000000"/>
                    <w:right w:val="single" w:sz="8" w:space="0" w:color="000000"/>
                  </w:tcBorders>
                </w:tcPr>
                <w:p>
                  <w:pPr>
                    <w:pStyle w:val="Normal"/>
                    <w:widowControl w:val="false"/>
                    <w:spacing w:lineRule="auto" w:line="252" w:before="40" w:after="40"/>
                    <w:jc w:val="center"/>
                    <w:rPr>
                      <w:sz w:val="18"/>
                      <w:szCs w:val="18"/>
                    </w:rPr>
                  </w:pPr>
                  <w:r>
                    <w:rPr>
                      <w:sz w:val="18"/>
                      <w:szCs w:val="18"/>
                    </w:rPr>
                    <w:t>Б</w:t>
                  </w:r>
                  <w:r>
                    <w:rPr>
                      <w:sz w:val="28"/>
                      <w:szCs w:val="18"/>
                      <w:vertAlign w:val="subscript"/>
                      <w:lang w:val="en-US"/>
                    </w:rPr>
                    <w:t>3</w:t>
                  </w:r>
                  <w:r>
                    <w:rPr>
                      <w:sz w:val="18"/>
                      <w:szCs w:val="18"/>
                    </w:rPr>
                    <w:t>= 0</w:t>
                  </w:r>
                </w:p>
              </w:tc>
              <w:tc>
                <w:tcPr>
                  <w:tcW w:w="5201" w:type="dxa"/>
                  <w:tcBorders>
                    <w:bottom w:val="single" w:sz="8" w:space="0" w:color="000000"/>
                  </w:tcBorders>
                </w:tcPr>
                <w:p>
                  <w:pPr>
                    <w:pStyle w:val="Normal"/>
                    <w:widowControl w:val="false"/>
                    <w:spacing w:lineRule="auto" w:line="252" w:before="40" w:after="40"/>
                    <w:rPr>
                      <w:sz w:val="18"/>
                      <w:szCs w:val="18"/>
                    </w:rPr>
                  </w:pPr>
                  <w:r>
                    <w:rPr>
                      <w:sz w:val="18"/>
                      <w:szCs w:val="18"/>
                    </w:rPr>
                    <w:t>Данные, подтверждающие квалификацию персонала не представлены или подтверждено выполнение требований пунктов (1, 2, 3) не  в полном объеме;</w:t>
                  </w:r>
                </w:p>
              </w:tc>
            </w:tr>
            <w:tr>
              <w:trPr>
                <w:trHeight w:val="309" w:hRule="atLeast"/>
                <w:cantSplit w:val="true"/>
              </w:trPr>
              <w:tc>
                <w:tcPr>
                  <w:tcW w:w="962" w:type="dxa"/>
                  <w:tcBorders>
                    <w:bottom w:val="single" w:sz="8" w:space="0" w:color="000000"/>
                    <w:right w:val="single" w:sz="8" w:space="0" w:color="000000"/>
                  </w:tcBorders>
                </w:tcPr>
                <w:p>
                  <w:pPr>
                    <w:pStyle w:val="Normal"/>
                    <w:widowControl w:val="false"/>
                    <w:spacing w:lineRule="auto" w:line="252" w:before="40" w:after="40"/>
                    <w:jc w:val="center"/>
                    <w:rPr>
                      <w:sz w:val="18"/>
                      <w:szCs w:val="18"/>
                    </w:rPr>
                  </w:pPr>
                  <w:r>
                    <w:rPr>
                      <w:sz w:val="18"/>
                      <w:szCs w:val="18"/>
                    </w:rPr>
                    <w:t>Б</w:t>
                  </w:r>
                  <w:r>
                    <w:rPr>
                      <w:sz w:val="18"/>
                      <w:szCs w:val="18"/>
                      <w:vertAlign w:val="subscript"/>
                    </w:rPr>
                    <w:t>3</w:t>
                  </w:r>
                  <w:r>
                    <w:rPr>
                      <w:sz w:val="18"/>
                      <w:szCs w:val="18"/>
                    </w:rPr>
                    <w:t>= 1</w:t>
                  </w:r>
                </w:p>
              </w:tc>
              <w:tc>
                <w:tcPr>
                  <w:tcW w:w="5201" w:type="dxa"/>
                  <w:tcBorders>
                    <w:bottom w:val="single" w:sz="8" w:space="0" w:color="000000"/>
                  </w:tcBorders>
                </w:tcPr>
                <w:p>
                  <w:pPr>
                    <w:pStyle w:val="Normal"/>
                    <w:widowControl w:val="false"/>
                    <w:spacing w:lineRule="auto" w:line="252" w:before="40" w:after="40"/>
                    <w:rPr>
                      <w:sz w:val="18"/>
                      <w:szCs w:val="18"/>
                      <w:shd w:fill="FFFF00" w:val="clear"/>
                    </w:rPr>
                  </w:pPr>
                  <w:r>
                    <w:rPr>
                      <w:color w:val="000000"/>
                      <w:sz w:val="18"/>
                      <w:szCs w:val="18"/>
                    </w:rPr>
                    <w:t>Выполнение требований пунктов 1, 2, 3 подтверждено в полном объеме, т.е. представлены подтвержденные данные по наличию персонала в количестве не менее 2 человек ).</w:t>
                  </w:r>
                </w:p>
              </w:tc>
            </w:tr>
            <w:tr>
              <w:trPr>
                <w:trHeight w:val="309" w:hRule="atLeast"/>
                <w:cantSplit w:val="true"/>
              </w:trPr>
              <w:tc>
                <w:tcPr>
                  <w:tcW w:w="962" w:type="dxa"/>
                  <w:tcBorders>
                    <w:bottom w:val="single" w:sz="8" w:space="0" w:color="000000"/>
                    <w:right w:val="single" w:sz="8" w:space="0" w:color="000000"/>
                  </w:tcBorders>
                </w:tcPr>
                <w:p>
                  <w:pPr>
                    <w:pStyle w:val="Normal"/>
                    <w:widowControl w:val="false"/>
                    <w:spacing w:lineRule="auto" w:line="252" w:before="40" w:after="40"/>
                    <w:jc w:val="center"/>
                    <w:rPr>
                      <w:sz w:val="18"/>
                      <w:szCs w:val="18"/>
                    </w:rPr>
                  </w:pPr>
                  <w:r>
                    <w:rPr>
                      <w:sz w:val="18"/>
                      <w:szCs w:val="18"/>
                    </w:rPr>
                    <w:t>Б</w:t>
                  </w:r>
                  <w:r>
                    <w:rPr>
                      <w:sz w:val="28"/>
                      <w:szCs w:val="18"/>
                      <w:vertAlign w:val="subscript"/>
                      <w:lang w:val="en-US"/>
                    </w:rPr>
                    <w:t>3</w:t>
                  </w:r>
                  <w:r>
                    <w:rPr>
                      <w:sz w:val="18"/>
                      <w:szCs w:val="18"/>
                    </w:rPr>
                    <w:t>= 2</w:t>
                  </w:r>
                </w:p>
              </w:tc>
              <w:tc>
                <w:tcPr>
                  <w:tcW w:w="5201" w:type="dxa"/>
                  <w:tcBorders>
                    <w:bottom w:val="single" w:sz="8" w:space="0" w:color="000000"/>
                  </w:tcBorders>
                </w:tcPr>
                <w:p>
                  <w:pPr>
                    <w:pStyle w:val="Normal"/>
                    <w:widowControl w:val="false"/>
                    <w:spacing w:lineRule="auto" w:line="252" w:before="40" w:after="40"/>
                    <w:rPr>
                      <w:sz w:val="18"/>
                      <w:szCs w:val="18"/>
                    </w:rPr>
                  </w:pPr>
                  <w:r>
                    <w:rPr>
                      <w:sz w:val="18"/>
                      <w:szCs w:val="18"/>
                    </w:rPr>
                    <w:t>Выполнение требований пунктов 1, 2, 3 подтверждено в полном объеме, т.е. представлены подтвержденные данные по наличию персонала в количестве не менее 3 человек</w:t>
                  </w:r>
                  <w:r>
                    <w:rPr>
                      <w:color w:val="000000"/>
                      <w:sz w:val="18"/>
                      <w:szCs w:val="18"/>
                    </w:rPr>
                    <w:t xml:space="preserve"> .</w:t>
                  </w:r>
                </w:p>
              </w:tc>
            </w:tr>
            <w:tr>
              <w:trPr>
                <w:trHeight w:val="309" w:hRule="atLeast"/>
                <w:cantSplit w:val="true"/>
              </w:trPr>
              <w:tc>
                <w:tcPr>
                  <w:tcW w:w="962" w:type="dxa"/>
                  <w:tcBorders>
                    <w:bottom w:val="single" w:sz="8" w:space="0" w:color="000000"/>
                    <w:right w:val="single" w:sz="8" w:space="0" w:color="000000"/>
                  </w:tcBorders>
                </w:tcPr>
                <w:p>
                  <w:pPr>
                    <w:pStyle w:val="Normal"/>
                    <w:widowControl w:val="false"/>
                    <w:spacing w:lineRule="auto" w:line="252" w:before="40" w:after="40"/>
                    <w:jc w:val="center"/>
                    <w:rPr>
                      <w:sz w:val="18"/>
                      <w:szCs w:val="18"/>
                    </w:rPr>
                  </w:pPr>
                  <w:r>
                    <w:rPr>
                      <w:sz w:val="18"/>
                      <w:szCs w:val="18"/>
                    </w:rPr>
                    <w:t>Б</w:t>
                  </w:r>
                  <w:r>
                    <w:rPr>
                      <w:sz w:val="28"/>
                      <w:szCs w:val="18"/>
                      <w:vertAlign w:val="subscript"/>
                      <w:lang w:val="en-US"/>
                    </w:rPr>
                    <w:t>3</w:t>
                  </w:r>
                  <w:r>
                    <w:rPr>
                      <w:sz w:val="18"/>
                      <w:szCs w:val="18"/>
                    </w:rPr>
                    <w:t>= 3</w:t>
                  </w:r>
                </w:p>
              </w:tc>
              <w:tc>
                <w:tcPr>
                  <w:tcW w:w="5201" w:type="dxa"/>
                  <w:tcBorders>
                    <w:bottom w:val="single" w:sz="8" w:space="0" w:color="000000"/>
                  </w:tcBorders>
                </w:tcPr>
                <w:p>
                  <w:pPr>
                    <w:pStyle w:val="Normal"/>
                    <w:widowControl w:val="false"/>
                    <w:spacing w:lineRule="auto" w:line="252" w:before="40" w:after="40"/>
                    <w:rPr>
                      <w:sz w:val="18"/>
                      <w:szCs w:val="18"/>
                    </w:rPr>
                  </w:pPr>
                  <w:r>
                    <w:rPr>
                      <w:sz w:val="18"/>
                      <w:szCs w:val="18"/>
                    </w:rPr>
                    <w:t>Выполнение требований пунктов 1, 2, 3 подтверждено в полном объеме, т.е. представлены подтвержденные данные по наличию персонала в количестве не менее 4 человек</w:t>
                  </w:r>
                  <w:r>
                    <w:rPr>
                      <w:color w:val="000000"/>
                      <w:sz w:val="18"/>
                      <w:szCs w:val="18"/>
                    </w:rPr>
                    <w:t xml:space="preserve"> (в случае смежности профессий 3 человек).</w:t>
                  </w:r>
                </w:p>
              </w:tc>
            </w:tr>
            <w:tr>
              <w:trPr>
                <w:trHeight w:val="309" w:hRule="atLeast"/>
                <w:cantSplit w:val="true"/>
              </w:trPr>
              <w:tc>
                <w:tcPr>
                  <w:tcW w:w="962" w:type="dxa"/>
                  <w:tcBorders>
                    <w:top w:val="single" w:sz="8" w:space="0" w:color="000000"/>
                    <w:bottom w:val="single" w:sz="8" w:space="0" w:color="000000"/>
                    <w:right w:val="single" w:sz="8" w:space="0" w:color="000000"/>
                  </w:tcBorders>
                  <w:tcMar>
                    <w:top w:w="55" w:type="dxa"/>
                    <w:bottom w:w="55" w:type="dxa"/>
                  </w:tcMar>
                </w:tcPr>
                <w:p>
                  <w:pPr>
                    <w:pStyle w:val="Normal"/>
                    <w:widowControl w:val="false"/>
                    <w:spacing w:lineRule="auto" w:line="252" w:before="40" w:after="40"/>
                    <w:jc w:val="center"/>
                    <w:rPr>
                      <w:sz w:val="18"/>
                      <w:szCs w:val="18"/>
                    </w:rPr>
                  </w:pPr>
                  <w:r>
                    <w:rPr>
                      <w:sz w:val="18"/>
                      <w:szCs w:val="18"/>
                    </w:rPr>
                    <w:t>Б</w:t>
                  </w:r>
                  <w:r>
                    <w:rPr>
                      <w:sz w:val="28"/>
                      <w:szCs w:val="18"/>
                      <w:vertAlign w:val="subscript"/>
                      <w:lang w:val="en-US"/>
                    </w:rPr>
                    <w:t>3</w:t>
                  </w:r>
                  <w:r>
                    <w:rPr>
                      <w:sz w:val="18"/>
                      <w:szCs w:val="18"/>
                    </w:rPr>
                    <w:t>= 4</w:t>
                  </w:r>
                </w:p>
              </w:tc>
              <w:tc>
                <w:tcPr>
                  <w:tcW w:w="5201" w:type="dxa"/>
                  <w:tcBorders>
                    <w:top w:val="single" w:sz="8" w:space="0" w:color="000000"/>
                    <w:bottom w:val="single" w:sz="8" w:space="0" w:color="000000"/>
                  </w:tcBorders>
                  <w:tcMar>
                    <w:top w:w="55" w:type="dxa"/>
                    <w:bottom w:w="55" w:type="dxa"/>
                  </w:tcMar>
                </w:tcPr>
                <w:p>
                  <w:pPr>
                    <w:pStyle w:val="Normal"/>
                    <w:widowControl w:val="false"/>
                    <w:spacing w:lineRule="auto" w:line="252" w:before="40" w:after="40"/>
                    <w:rPr/>
                  </w:pPr>
                  <w:r>
                    <w:rPr>
                      <w:sz w:val="18"/>
                      <w:szCs w:val="18"/>
                    </w:rPr>
                    <w:t>Выполнение требований пунктов 1, 2, 3 подтверждено в полном объеме, т.е. представлены подтвержденные данные по наличию персонала в количестве не менее 5 человек (в случае смежности профессий 4 человек).</w:t>
                  </w:r>
                </w:p>
              </w:tc>
            </w:tr>
            <w:tr>
              <w:trPr>
                <w:trHeight w:val="309" w:hRule="atLeast"/>
                <w:cantSplit w:val="true"/>
              </w:trPr>
              <w:tc>
                <w:tcPr>
                  <w:tcW w:w="962" w:type="dxa"/>
                  <w:tcBorders>
                    <w:bottom w:val="single" w:sz="8" w:space="0" w:color="000000"/>
                    <w:right w:val="single" w:sz="8" w:space="0" w:color="000000"/>
                  </w:tcBorders>
                  <w:tcMar>
                    <w:top w:w="55" w:type="dxa"/>
                    <w:bottom w:w="55" w:type="dxa"/>
                  </w:tcMar>
                </w:tcPr>
                <w:p>
                  <w:pPr>
                    <w:pStyle w:val="Normal"/>
                    <w:widowControl w:val="false"/>
                    <w:spacing w:lineRule="auto" w:line="252" w:before="40" w:after="40"/>
                    <w:jc w:val="center"/>
                    <w:rPr>
                      <w:sz w:val="18"/>
                      <w:szCs w:val="18"/>
                    </w:rPr>
                  </w:pPr>
                  <w:r>
                    <w:rPr>
                      <w:sz w:val="18"/>
                      <w:szCs w:val="18"/>
                    </w:rPr>
                    <w:t>Б</w:t>
                  </w:r>
                  <w:r>
                    <w:rPr>
                      <w:sz w:val="28"/>
                      <w:szCs w:val="18"/>
                      <w:vertAlign w:val="subscript"/>
                      <w:lang w:val="en-US"/>
                    </w:rPr>
                    <w:t>3</w:t>
                  </w:r>
                  <w:r>
                    <w:rPr>
                      <w:sz w:val="18"/>
                      <w:szCs w:val="18"/>
                    </w:rPr>
                    <w:t>= 5</w:t>
                  </w:r>
                </w:p>
              </w:tc>
              <w:tc>
                <w:tcPr>
                  <w:tcW w:w="5201" w:type="dxa"/>
                  <w:tcBorders>
                    <w:bottom w:val="single" w:sz="8" w:space="0" w:color="000000"/>
                  </w:tcBorders>
                  <w:tcMar>
                    <w:top w:w="55" w:type="dxa"/>
                    <w:bottom w:w="55" w:type="dxa"/>
                  </w:tcMar>
                </w:tcPr>
                <w:p>
                  <w:pPr>
                    <w:pStyle w:val="Normal"/>
                    <w:widowControl w:val="false"/>
                    <w:spacing w:lineRule="auto" w:line="252" w:before="40" w:after="40"/>
                    <w:rPr/>
                  </w:pPr>
                  <w:r>
                    <w:rPr>
                      <w:sz w:val="18"/>
                      <w:szCs w:val="18"/>
                    </w:rPr>
                    <w:t>Выполнение требований пунктов 1, 2, 3 подтверждено в полном объеме, т.е. представлены подтвержденные данные по наличию персонала в количестве  не менее 6 человек (в случае смежности профессий 5 человек).</w:t>
                  </w:r>
                  <w:bookmarkStart w:id="1" w:name="_GoBack_Копия_1"/>
                  <w:bookmarkEnd w:id="1"/>
                </w:p>
              </w:tc>
            </w:tr>
          </w:tbl>
          <w:p>
            <w:pPr>
              <w:pStyle w:val="22"/>
              <w:widowControl w:val="false"/>
              <w:numPr>
                <w:ilvl w:val="0"/>
                <w:numId w:val="0"/>
              </w:numPr>
              <w:suppressAutoHyphens w:val="true"/>
              <w:spacing w:lineRule="auto" w:line="240" w:before="96" w:after="0"/>
              <w:ind w:left="0" w:hanging="0"/>
              <w:jc w:val="left"/>
              <w:rPr>
                <w:sz w:val="18"/>
                <w:szCs w:val="18"/>
                <w:lang w:eastAsia="ru-RU"/>
              </w:rPr>
            </w:pPr>
            <w:r>
              <w:rPr>
                <w:rFonts w:cs="Times New Roman"/>
                <w:kern w:val="0"/>
                <w:sz w:val="18"/>
                <w:szCs w:val="18"/>
                <w:lang w:val="ru-RU" w:eastAsia="ru-RU" w:bidi="ar-SA"/>
              </w:rPr>
              <w:t>где:</w:t>
            </w:r>
          </w:p>
          <w:p>
            <w:pPr>
              <w:pStyle w:val="22"/>
              <w:widowControl w:val="false"/>
              <w:numPr>
                <w:ilvl w:val="0"/>
                <w:numId w:val="0"/>
              </w:numPr>
              <w:tabs>
                <w:tab w:val="clear" w:pos="708"/>
                <w:tab w:val="left" w:pos="742" w:leader="none"/>
                <w:tab w:val="left" w:pos="1167" w:leader="none"/>
              </w:tabs>
              <w:suppressAutoHyphens w:val="true"/>
              <w:spacing w:lineRule="auto" w:line="240" w:before="0" w:after="0"/>
              <w:ind w:left="0" w:hanging="0"/>
              <w:jc w:val="left"/>
              <w:rPr>
                <w:sz w:val="18"/>
                <w:szCs w:val="18"/>
                <w:lang w:eastAsia="ru-RU"/>
              </w:rPr>
            </w:pPr>
            <w:r>
              <w:rPr>
                <w:rFonts w:cs="Times New Roman"/>
                <w:kern w:val="0"/>
                <w:sz w:val="18"/>
                <w:szCs w:val="18"/>
                <w:lang w:val="ru-RU" w:bidi="ar-SA"/>
              </w:rPr>
              <w:t>Б</w:t>
            </w:r>
            <w:r>
              <w:rPr>
                <w:rFonts w:cs="Times New Roman"/>
                <w:kern w:val="0"/>
                <w:sz w:val="28"/>
                <w:szCs w:val="18"/>
                <w:vertAlign w:val="subscript"/>
                <w:lang w:val="ru-RU" w:bidi="ar-SA"/>
              </w:rPr>
              <w:t>3</w:t>
            </w:r>
            <w:r>
              <w:rPr>
                <w:rFonts w:cs="Times New Roman"/>
                <w:kern w:val="0"/>
                <w:sz w:val="18"/>
                <w:szCs w:val="18"/>
                <w:lang w:val="ru-RU" w:eastAsia="ru-RU" w:bidi="ar-SA"/>
              </w:rPr>
              <w:tab/>
              <w:t>–</w:t>
              <w:tab/>
              <w:t>рассчитанная оценка предпочтительности по данному частному критерию оценки второго уровня в баллах;</w:t>
            </w:r>
          </w:p>
          <w:p>
            <w:pPr>
              <w:pStyle w:val="32"/>
              <w:widowControl w:val="false"/>
              <w:numPr>
                <w:ilvl w:val="0"/>
                <w:numId w:val="0"/>
              </w:numPr>
              <w:suppressAutoHyphens w:val="true"/>
              <w:spacing w:lineRule="auto" w:line="240" w:before="96" w:after="96"/>
              <w:ind w:left="0" w:hanging="0"/>
              <w:jc w:val="left"/>
              <w:rPr>
                <w:sz w:val="18"/>
                <w:szCs w:val="18"/>
                <w:lang w:eastAsia="ru-RU"/>
              </w:rPr>
            </w:pPr>
            <w:r>
              <w:rPr>
                <w:rFonts w:cs="Times New Roman"/>
                <w:kern w:val="0"/>
                <w:sz w:val="18"/>
                <w:szCs w:val="18"/>
                <w:lang w:val="ru-RU" w:eastAsia="ru-RU" w:bidi="ar-SA"/>
              </w:rPr>
              <w:t>Шкала оценок от 0 до 5 баллов.</w:t>
            </w:r>
          </w:p>
          <w:p>
            <w:pPr>
              <w:pStyle w:val="32"/>
              <w:widowControl w:val="false"/>
              <w:numPr>
                <w:ilvl w:val="0"/>
                <w:numId w:val="0"/>
              </w:numPr>
              <w:suppressAutoHyphens w:val="true"/>
              <w:spacing w:lineRule="auto" w:line="240" w:before="96" w:after="96"/>
              <w:ind w:left="0" w:hanging="0"/>
              <w:jc w:val="left"/>
              <w:rPr>
                <w:sz w:val="18"/>
                <w:szCs w:val="18"/>
                <w:lang w:eastAsia="ru-RU"/>
              </w:rPr>
            </w:pPr>
            <w:r>
              <w:rPr>
                <w:rFonts w:cs="Times New Roman"/>
                <w:kern w:val="0"/>
                <w:sz w:val="18"/>
                <w:szCs w:val="18"/>
                <w:lang w:val="ru-RU" w:eastAsia="ru-RU" w:bidi="ar-SA"/>
              </w:rPr>
              <w:t>Участнику присваивается 0 баллов по данному критерию оценки если  не предоставлена Справка о кадровых ресурсах.</w:t>
            </w:r>
          </w:p>
          <w:p>
            <w:pPr>
              <w:pStyle w:val="32"/>
              <w:widowControl w:val="false"/>
              <w:numPr>
                <w:ilvl w:val="0"/>
                <w:numId w:val="0"/>
              </w:numPr>
              <w:suppressAutoHyphens w:val="true"/>
              <w:spacing w:lineRule="auto" w:line="240" w:before="96" w:after="96"/>
              <w:ind w:left="0" w:hanging="0"/>
              <w:jc w:val="left"/>
              <w:rPr>
                <w:sz w:val="18"/>
                <w:szCs w:val="18"/>
                <w:lang w:eastAsia="ru-RU"/>
              </w:rPr>
            </w:pPr>
            <w:r>
              <w:rPr>
                <w:rFonts w:cs="Times New Roman"/>
                <w:kern w:val="0"/>
                <w:sz w:val="18"/>
                <w:szCs w:val="18"/>
                <w:lang w:val="ru-RU" w:eastAsia="ru-RU" w:bidi="ar-SA"/>
              </w:rPr>
              <w:t>Участнику присваивается 0 баллов по данному критерию оценки если по вышеперечисленным пунктам (1, 2, 3) не предоставлены подтверждающие документы в полном объеме.</w:t>
            </w:r>
          </w:p>
        </w:tc>
      </w:tr>
      <w:tr>
        <w:trPr/>
        <w:tc>
          <w:tcPr>
            <w:tcW w:w="1100" w:type="dxa"/>
            <w:tcBorders>
              <w:top w:val="nil"/>
            </w:tcBorders>
          </w:tcPr>
          <w:p>
            <w:pPr>
              <w:pStyle w:val="32"/>
              <w:widowControl w:val="false"/>
              <w:numPr>
                <w:ilvl w:val="7"/>
                <w:numId w:val="7"/>
              </w:numPr>
              <w:suppressAutoHyphens w:val="true"/>
              <w:spacing w:lineRule="auto" w:line="240" w:before="40" w:after="40"/>
              <w:jc w:val="center"/>
              <w:rPr>
                <w:sz w:val="18"/>
                <w:szCs w:val="18"/>
                <w:lang w:eastAsia="ru-RU"/>
              </w:rPr>
            </w:pPr>
            <w:bookmarkStart w:id="2" w:name="_Ref143679939_Копия_1_Копия_1"/>
            <w:r>
              <w:rPr>
                <w:rFonts w:cs="Times New Roman"/>
                <w:kern w:val="0"/>
                <w:sz w:val="18"/>
                <w:szCs w:val="18"/>
                <w:lang w:val="en-US" w:eastAsia="ru-RU" w:bidi="ar-SA"/>
              </w:rPr>
              <w:t>4</w:t>
            </w:r>
            <w:r>
              <w:rPr>
                <w:rFonts w:cs="Times New Roman"/>
                <w:kern w:val="0"/>
                <w:sz w:val="18"/>
                <w:szCs w:val="18"/>
                <w:lang w:val="ru-RU" w:eastAsia="ru-RU" w:bidi="ar-SA"/>
              </w:rPr>
              <w:t>.</w:t>
            </w:r>
            <w:bookmarkEnd w:id="2"/>
          </w:p>
        </w:tc>
        <w:tc>
          <w:tcPr>
            <w:tcW w:w="1417" w:type="dxa"/>
            <w:tcBorders>
              <w:top w:val="nil"/>
            </w:tcBorders>
          </w:tcPr>
          <w:p>
            <w:pPr>
              <w:pStyle w:val="Normal"/>
              <w:widowControl w:val="false"/>
              <w:suppressAutoHyphens w:val="true"/>
              <w:spacing w:lineRule="auto" w:line="252" w:before="120" w:after="0"/>
              <w:jc w:val="center"/>
              <w:rPr>
                <w:rFonts w:eastAsia="Calibri"/>
                <w:i/>
                <w:i/>
                <w:sz w:val="18"/>
                <w:szCs w:val="18"/>
                <w:lang w:eastAsia="ru-RU"/>
              </w:rPr>
            </w:pPr>
            <w:r>
              <w:rPr>
                <w:rFonts w:cs="Times New Roman"/>
                <w:kern w:val="0"/>
                <w:sz w:val="18"/>
                <w:szCs w:val="18"/>
                <w:lang w:val="ru-RU" w:eastAsia="ru-RU" w:bidi="ar-SA"/>
              </w:rPr>
              <w:t>Неценовой критерий оценки первого уровня / ОРГ</w:t>
            </w:r>
          </w:p>
        </w:tc>
        <w:tc>
          <w:tcPr>
            <w:tcW w:w="1419" w:type="dxa"/>
            <w:tcBorders>
              <w:top w:val="nil"/>
            </w:tcBorders>
          </w:tcPr>
          <w:p>
            <w:pPr>
              <w:pStyle w:val="Normal"/>
              <w:widowControl w:val="false"/>
              <w:suppressAutoHyphens w:val="true"/>
              <w:spacing w:lineRule="auto" w:line="252" w:before="120" w:after="0"/>
              <w:jc w:val="center"/>
              <w:rPr>
                <w:rFonts w:eastAsia="Calibri"/>
                <w:sz w:val="18"/>
                <w:szCs w:val="18"/>
                <w:lang w:eastAsia="ru-RU"/>
              </w:rPr>
            </w:pPr>
            <w:bookmarkStart w:id="3" w:name="Финсостояние_Копия_1_Копия_1"/>
            <w:r>
              <w:rPr>
                <w:rFonts w:eastAsia="Calibri" w:cs="Times New Roman"/>
                <w:kern w:val="0"/>
                <w:sz w:val="18"/>
                <w:szCs w:val="18"/>
                <w:lang w:val="ru-RU" w:bidi="ar-SA"/>
              </w:rPr>
              <w:t>Финансовое состояние (устойчивость) Участника</w:t>
            </w:r>
            <w:bookmarkEnd w:id="3"/>
          </w:p>
        </w:tc>
        <w:tc>
          <w:tcPr>
            <w:tcW w:w="1416" w:type="dxa"/>
            <w:tcBorders>
              <w:top w:val="nil"/>
            </w:tcBorders>
          </w:tcPr>
          <w:p>
            <w:pPr>
              <w:pStyle w:val="Normal"/>
              <w:widowControl w:val="false"/>
              <w:suppressAutoHyphens w:val="true"/>
              <w:spacing w:lineRule="auto" w:line="252" w:before="120" w:after="0"/>
              <w:jc w:val="center"/>
              <w:rPr>
                <w:rFonts w:eastAsia="Calibri"/>
                <w:i/>
                <w:i/>
                <w:sz w:val="18"/>
                <w:szCs w:val="18"/>
                <w:lang w:eastAsia="ru-RU"/>
              </w:rPr>
            </w:pPr>
            <w:r>
              <w:rPr>
                <w:rFonts w:cs="Times New Roman"/>
                <w:i/>
                <w:kern w:val="0"/>
                <w:sz w:val="18"/>
                <w:szCs w:val="18"/>
                <w:lang w:val="ru-RU" w:eastAsia="ru-RU" w:bidi="ar-SA"/>
              </w:rPr>
              <w:t>отсутствует</w:t>
            </w:r>
          </w:p>
        </w:tc>
        <w:tc>
          <w:tcPr>
            <w:tcW w:w="1135" w:type="dxa"/>
            <w:tcBorders>
              <w:top w:val="nil"/>
            </w:tcBorders>
          </w:tcPr>
          <w:p>
            <w:pPr>
              <w:pStyle w:val="Normal"/>
              <w:widowControl w:val="false"/>
              <w:suppressAutoHyphens w:val="true"/>
              <w:spacing w:lineRule="auto" w:line="252" w:before="120" w:after="0"/>
              <w:jc w:val="center"/>
              <w:rPr>
                <w:rFonts w:eastAsia="Calibri"/>
                <w:sz w:val="18"/>
                <w:szCs w:val="18"/>
                <w:lang w:eastAsia="ru-RU"/>
              </w:rPr>
            </w:pPr>
            <w:r>
              <w:rPr>
                <w:rFonts w:cs="Times New Roman"/>
                <w:kern w:val="0"/>
                <w:sz w:val="18"/>
                <w:szCs w:val="18"/>
                <w:lang w:val="ru-RU" w:eastAsia="ru-RU" w:bidi="ar-SA"/>
              </w:rPr>
              <w:t>5%</w:t>
              <w:br/>
              <w:t>(В</w:t>
            </w:r>
            <w:r>
              <w:rPr>
                <w:rFonts w:cs="Times New Roman"/>
                <w:kern w:val="0"/>
                <w:sz w:val="18"/>
                <w:szCs w:val="18"/>
                <w:vertAlign w:val="subscript"/>
                <w:lang w:val="en-US" w:eastAsia="ru-RU" w:bidi="ar-SA"/>
              </w:rPr>
              <w:t>3</w:t>
            </w:r>
            <w:r>
              <w:rPr>
                <w:rFonts w:cs="Times New Roman"/>
                <w:kern w:val="0"/>
                <w:sz w:val="18"/>
                <w:szCs w:val="18"/>
                <w:lang w:val="ru-RU" w:eastAsia="ru-RU" w:bidi="ar-SA"/>
              </w:rPr>
              <w:t xml:space="preserve"> = 0,05)</w:t>
            </w:r>
          </w:p>
        </w:tc>
        <w:tc>
          <w:tcPr>
            <w:tcW w:w="1842" w:type="dxa"/>
            <w:tcBorders>
              <w:top w:val="nil"/>
            </w:tcBorders>
          </w:tcPr>
          <w:p>
            <w:pPr>
              <w:pStyle w:val="Normal"/>
              <w:widowControl w:val="false"/>
              <w:suppressAutoHyphens w:val="true"/>
              <w:spacing w:lineRule="auto" w:line="252" w:before="120" w:after="0"/>
              <w:jc w:val="center"/>
              <w:rPr>
                <w:rFonts w:eastAsia="Calibri"/>
                <w:bCs/>
                <w:sz w:val="18"/>
                <w:szCs w:val="18"/>
                <w:lang w:eastAsia="ru-RU"/>
              </w:rPr>
            </w:pPr>
            <w:r>
              <w:rPr>
                <w:rFonts w:eastAsia="Calibri" w:cs="Times New Roman"/>
                <w:kern w:val="0"/>
                <w:sz w:val="18"/>
                <w:szCs w:val="18"/>
                <w:lang w:val="ru-RU" w:bidi="ar-SA"/>
              </w:rPr>
              <w:t>Чем выше результат оценки финансового состояния (устойчивости) Участника, тем выше предпочтительность</w:t>
            </w:r>
          </w:p>
        </w:tc>
        <w:tc>
          <w:tcPr>
            <w:tcW w:w="6684" w:type="dxa"/>
            <w:tcBorders>
              <w:top w:val="nil"/>
            </w:tcBorders>
          </w:tcPr>
          <w:p>
            <w:pPr>
              <w:pStyle w:val="Normal"/>
              <w:widowControl w:val="false"/>
              <w:suppressAutoHyphens w:val="true"/>
              <w:spacing w:before="120" w:after="0"/>
              <w:rPr>
                <w:rFonts w:eastAsia="Calibri"/>
                <w:sz w:val="18"/>
                <w:szCs w:val="18"/>
              </w:rPr>
            </w:pPr>
            <w:r>
              <w:rPr>
                <w:rFonts w:eastAsia="Calibri" w:cs="Times New Roman"/>
                <w:kern w:val="0"/>
                <w:sz w:val="18"/>
                <w:szCs w:val="18"/>
                <w:lang w:val="ru-RU"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suppressAutoHyphens w:val="true"/>
              <w:rPr>
                <w:rFonts w:eastAsia="Calibri"/>
                <w:sz w:val="18"/>
                <w:szCs w:val="18"/>
              </w:rPr>
            </w:pPr>
            <w:r>
              <w:rPr>
                <w:rFonts w:cs="Times New Roman"/>
                <w:kern w:val="0"/>
                <w:sz w:val="18"/>
                <w:szCs w:val="18"/>
                <w:lang w:val="ru-RU" w:eastAsia="ru-RU" w:bidi="ar-SA"/>
              </w:rPr>
              <w:t xml:space="preserve">Порядок осуществления оценки (значение оцениваемого параметра), в зависимости от </w:t>
            </w:r>
            <w:r>
              <w:rPr>
                <w:rFonts w:cs="Times New Roman"/>
                <w:kern w:val="0"/>
                <w:sz w:val="18"/>
                <w:szCs w:val="18"/>
                <w:lang w:val="ru-RU" w:bidi="ar-SA"/>
              </w:rPr>
              <w:t>полученного</w:t>
            </w:r>
            <w:r>
              <w:rPr>
                <w:rFonts w:cs="Times New Roman"/>
                <w:kern w:val="0"/>
                <w:sz w:val="18"/>
                <w:szCs w:val="18"/>
                <w:lang w:val="ru-RU" w:eastAsia="ru-RU" w:bidi="ar-SA"/>
              </w:rPr>
              <w:t xml:space="preserve"> </w:t>
            </w:r>
            <w:r>
              <w:rPr>
                <w:rFonts w:cs="Times New Roman"/>
                <w:kern w:val="0"/>
                <w:sz w:val="18"/>
                <w:szCs w:val="18"/>
                <w:lang w:val="ru-RU" w:bidi="ar-SA"/>
              </w:rPr>
              <w:t xml:space="preserve">Участником (с </w:t>
            </w:r>
            <w:r>
              <w:rPr>
                <w:rFonts w:cs="Times New Roman"/>
                <w:i/>
                <w:kern w:val="0"/>
                <w:sz w:val="18"/>
                <w:szCs w:val="18"/>
                <w:lang w:val="en-US" w:eastAsia="ru-RU" w:bidi="ar-SA"/>
              </w:rPr>
              <w:t>i</w:t>
            </w:r>
            <w:r>
              <w:rPr>
                <w:rFonts w:cs="Times New Roman"/>
                <w:kern w:val="0"/>
                <w:sz w:val="18"/>
                <w:szCs w:val="18"/>
                <w:lang w:val="ru-RU" w:eastAsia="ru-RU" w:bidi="ar-SA"/>
              </w:rPr>
              <w:t>-</w:t>
            </w:r>
            <w:r>
              <w:rPr>
                <w:rFonts w:cs="Times New Roman"/>
                <w:kern w:val="0"/>
                <w:sz w:val="18"/>
                <w:szCs w:val="18"/>
                <w:lang w:val="ru-RU" w:bidi="ar-SA"/>
              </w:rPr>
              <w:t>ой</w:t>
            </w:r>
            <w:r>
              <w:rPr>
                <w:rFonts w:cs="Times New Roman"/>
                <w:kern w:val="0"/>
                <w:sz w:val="18"/>
                <w:szCs w:val="18"/>
                <w:lang w:val="ru-RU" w:eastAsia="ru-RU" w:bidi="ar-SA"/>
              </w:rPr>
              <w:t xml:space="preserve"> заяв</w:t>
            </w:r>
            <w:r>
              <w:rPr>
                <w:rFonts w:cs="Times New Roman"/>
                <w:kern w:val="0"/>
                <w:sz w:val="18"/>
                <w:szCs w:val="18"/>
                <w:lang w:val="ru-RU" w:bidi="ar-SA"/>
              </w:rPr>
              <w:t xml:space="preserve">кой) значения расчетного балла </w:t>
            </w:r>
            <w:bookmarkStart w:id="4" w:name="_Hlk140493522_Копия_1_Копия_1"/>
            <w:r>
              <w:rPr>
                <w:rFonts w:cs="Times New Roman"/>
                <w:kern w:val="0"/>
                <w:sz w:val="18"/>
                <w:szCs w:val="18"/>
                <w:lang w:val="ru-RU" w:bidi="ar-SA"/>
              </w:rPr>
              <w:t>(интегрального показателя финансового состояния)</w:t>
            </w:r>
            <w:bookmarkEnd w:id="4"/>
            <w:r>
              <w:rPr>
                <w:rFonts w:cs="Times New Roman"/>
                <w:kern w:val="0"/>
                <w:sz w:val="18"/>
                <w:szCs w:val="18"/>
                <w:lang w:val="ru-RU" w:bidi="ar-SA"/>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Normal"/>
              <w:widowControl w:val="false"/>
              <w:numPr>
                <w:ilvl w:val="0"/>
                <w:numId w:val="8"/>
              </w:numPr>
              <w:suppressAutoHyphens w:val="false"/>
              <w:spacing w:lineRule="auto" w:line="240"/>
              <w:ind w:left="346" w:hanging="284"/>
              <w:jc w:val="left"/>
              <w:rPr>
                <w:sz w:val="18"/>
                <w:szCs w:val="18"/>
              </w:rPr>
            </w:pPr>
            <w:r>
              <w:rPr>
                <w:rFonts w:eastAsia="Calibri" w:cs="Times New Roman"/>
                <w:kern w:val="0"/>
                <w:sz w:val="18"/>
                <w:szCs w:val="18"/>
                <w:lang w:val="ru-RU" w:bidi="ar-SA"/>
              </w:rPr>
              <w:t>порядок проведения оценки финансового состояния (устойчивости) Участника установлен Приложением 5 к Положению об аккредитации;</w:t>
            </w:r>
          </w:p>
          <w:p>
            <w:pPr>
              <w:pStyle w:val="Normal"/>
              <w:widowControl w:val="false"/>
              <w:numPr>
                <w:ilvl w:val="0"/>
                <w:numId w:val="8"/>
              </w:numPr>
              <w:suppressAutoHyphens w:val="false"/>
              <w:spacing w:lineRule="auto" w:line="240"/>
              <w:ind w:left="346" w:hanging="284"/>
              <w:jc w:val="left"/>
              <w:rPr>
                <w:sz w:val="18"/>
                <w:szCs w:val="18"/>
              </w:rPr>
            </w:pPr>
            <w:r>
              <w:rPr>
                <w:rFonts w:eastAsia="Calibri" w:cs="Times New Roman"/>
                <w:kern w:val="0"/>
                <w:sz w:val="18"/>
                <w:szCs w:val="18"/>
                <w:lang w:val="ru-RU" w:bidi="ar-SA"/>
              </w:rPr>
              <w:t>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4">
              <w:r>
                <w:rPr>
                  <w:rStyle w:val="Hyperlink"/>
                  <w:rFonts w:eastAsia="Calibri" w:cs="Times New Roman"/>
                  <w:kern w:val="0"/>
                  <w:sz w:val="18"/>
                  <w:szCs w:val="18"/>
                  <w:lang w:val="ru-RU" w:bidi="ar-SA"/>
                </w:rPr>
                <w:t>https://bo.nalog.ru</w:t>
              </w:r>
            </w:hyperlink>
            <w:r>
              <w:rPr>
                <w:rFonts w:eastAsia="Calibri" w:cs="Times New Roman"/>
                <w:kern w:val="0"/>
                <w:sz w:val="18"/>
                <w:szCs w:val="18"/>
                <w:lang w:val="ru-RU" w:bidi="ar-SA"/>
              </w:rPr>
              <w:t xml:space="preserve">) за предыдущий отчетный период (год). </w:t>
            </w:r>
          </w:p>
          <w:p>
            <w:pPr>
              <w:pStyle w:val="Normal"/>
              <w:widowControl w:val="false"/>
              <w:suppressAutoHyphens w:val="true"/>
              <w:ind w:left="346" w:hanging="0"/>
              <w:rPr>
                <w:sz w:val="18"/>
                <w:szCs w:val="18"/>
              </w:rPr>
            </w:pPr>
            <w:r>
              <w:rPr>
                <w:rFonts w:eastAsia="Calibri" w:cs="Times New Roman"/>
                <w:kern w:val="0"/>
                <w:sz w:val="18"/>
                <w:szCs w:val="18"/>
                <w:lang w:val="ru-RU" w:bidi="ar-SA"/>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Normal"/>
              <w:widowControl w:val="false"/>
              <w:numPr>
                <w:ilvl w:val="0"/>
                <w:numId w:val="8"/>
              </w:numPr>
              <w:suppressAutoHyphens w:val="false"/>
              <w:spacing w:lineRule="auto" w:line="240" w:before="120" w:after="120"/>
              <w:ind w:left="346" w:hanging="284"/>
              <w:jc w:val="left"/>
              <w:rPr>
                <w:sz w:val="18"/>
                <w:szCs w:val="18"/>
              </w:rPr>
            </w:pPr>
            <w:r>
              <w:rPr>
                <w:rFonts w:eastAsia="Calibri" w:cs="Times New Roman"/>
                <w:kern w:val="0"/>
                <w:sz w:val="18"/>
                <w:szCs w:val="18"/>
                <w:lang w:val="ru-RU" w:bidi="ar-SA"/>
              </w:rPr>
              <w:t>оценки предпочтительности по частному критерию</w:t>
            </w:r>
            <w:r>
              <w:rPr>
                <w:rFonts w:cs="Times New Roman"/>
                <w:kern w:val="0"/>
                <w:sz w:val="18"/>
                <w:szCs w:val="18"/>
                <w:lang w:val="ru-RU" w:eastAsia="ru-RU" w:bidi="ar-SA"/>
              </w:rPr>
              <w:t xml:space="preserve"> осуществляется в соответствии со </w:t>
            </w:r>
            <w:r>
              <w:rPr>
                <w:rFonts w:eastAsia="Calibri" w:cs="Times New Roman"/>
                <w:kern w:val="0"/>
                <w:sz w:val="18"/>
                <w:szCs w:val="18"/>
                <w:lang w:val="ru-RU" w:bidi="ar-SA"/>
              </w:rPr>
              <w:t>шкалой</w:t>
            </w:r>
            <w:r>
              <w:rPr>
                <w:rFonts w:cs="Times New Roman"/>
                <w:kern w:val="0"/>
                <w:sz w:val="18"/>
                <w:szCs w:val="18"/>
                <w:lang w:val="ru-RU" w:eastAsia="ru-RU" w:bidi="ar-SA"/>
              </w:rPr>
              <w:t>:</w:t>
            </w:r>
          </w:p>
          <w:tbl>
            <w:tblPr>
              <w:tblW w:w="6412"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884"/>
              <w:gridCol w:w="5527"/>
            </w:tblGrid>
            <w:tr>
              <w:trPr>
                <w:cantSplit w:val="true"/>
              </w:trPr>
              <w:tc>
                <w:tcPr>
                  <w:tcW w:w="884" w:type="dxa"/>
                  <w:tcBorders>
                    <w:bottom w:val="single" w:sz="4" w:space="0" w:color="000000"/>
                    <w:right w:val="single" w:sz="4" w:space="0" w:color="000000"/>
                  </w:tcBorders>
                </w:tcPr>
                <w:p>
                  <w:pPr>
                    <w:pStyle w:val="32"/>
                    <w:widowControl w:val="false"/>
                    <w:numPr>
                      <w:ilvl w:val="7"/>
                      <w:numId w:val="9"/>
                    </w:numPr>
                    <w:suppressAutoHyphens w:val="false"/>
                    <w:spacing w:lineRule="auto" w:line="240" w:before="40" w:after="40"/>
                    <w:jc w:val="center"/>
                    <w:rPr>
                      <w:sz w:val="18"/>
                      <w:szCs w:val="18"/>
                      <w:lang w:eastAsia="ru-RU"/>
                    </w:rPr>
                  </w:pPr>
                  <w:r>
                    <w:rPr>
                      <w:sz w:val="18"/>
                      <w:szCs w:val="18"/>
                      <w:lang w:eastAsia="ru-RU"/>
                    </w:rPr>
                    <w:t>Б</w:t>
                  </w:r>
                  <w:r>
                    <w:rPr>
                      <w:sz w:val="18"/>
                      <w:szCs w:val="18"/>
                      <w:vertAlign w:val="subscript"/>
                      <w:lang w:val="en-US" w:eastAsia="ru-RU"/>
                    </w:rPr>
                    <w:t>3</w:t>
                  </w:r>
                  <w:r>
                    <w:rPr>
                      <w:sz w:val="18"/>
                      <w:szCs w:val="18"/>
                      <w:lang w:eastAsia="ru-RU"/>
                    </w:rPr>
                    <w:t xml:space="preserve"> = 0</w:t>
                  </w:r>
                </w:p>
              </w:tc>
              <w:tc>
                <w:tcPr>
                  <w:tcW w:w="5527" w:type="dxa"/>
                  <w:tcBorders>
                    <w:left w:val="single" w:sz="4" w:space="0" w:color="000000"/>
                    <w:bottom w:val="single" w:sz="4" w:space="0" w:color="000000"/>
                  </w:tcBorders>
                </w:tcPr>
                <w:p>
                  <w:pPr>
                    <w:pStyle w:val="Normal"/>
                    <w:widowControl w:val="false"/>
                    <w:spacing w:before="120" w:after="0"/>
                    <w:rPr>
                      <w:rFonts w:eastAsia="Calibri"/>
                      <w:sz w:val="18"/>
                      <w:szCs w:val="18"/>
                    </w:rPr>
                  </w:pPr>
                  <w:r>
                    <w:rPr>
                      <w:rFonts w:eastAsia="Calibri"/>
                      <w:sz w:val="18"/>
                      <w:szCs w:val="18"/>
                    </w:rPr>
                    <w:t>Результат оценки финансового состояния (устойчивости): менее 0,45 балла – Кризисное финансовое состояние;</w:t>
                  </w:r>
                </w:p>
                <w:p>
                  <w:pPr>
                    <w:pStyle w:val="Normal"/>
                    <w:widowControl w:val="false"/>
                    <w:rPr>
                      <w:rFonts w:eastAsia="Calibri"/>
                      <w:i/>
                      <w:i/>
                      <w:iCs/>
                      <w:sz w:val="18"/>
                      <w:szCs w:val="18"/>
                    </w:rPr>
                  </w:pPr>
                  <w:r>
                    <w:rPr>
                      <w:rFonts w:eastAsia="Calibri"/>
                      <w:i/>
                      <w:iCs/>
                      <w:sz w:val="18"/>
                      <w:szCs w:val="18"/>
                    </w:rPr>
                    <w:t>или</w:t>
                  </w:r>
                </w:p>
                <w:p>
                  <w:pPr>
                    <w:pStyle w:val="Normal"/>
                    <w:widowControl w:val="false"/>
                    <w:rPr>
                      <w:rFonts w:eastAsia="Calibri"/>
                      <w:sz w:val="18"/>
                      <w:szCs w:val="18"/>
                    </w:rPr>
                  </w:pPr>
                  <w:r>
                    <w:rPr>
                      <w:rFonts w:eastAsia="Calibri"/>
                      <w:sz w:val="18"/>
                      <w:szCs w:val="18"/>
                    </w:rPr>
                    <w:t xml:space="preserve">в случае отсутствия исходных данных для оценки финансового состояния Участника, в том числе если он является: </w:t>
                  </w:r>
                </w:p>
                <w:p>
                  <w:pPr>
                    <w:pStyle w:val="-1"/>
                    <w:widowControl w:val="false"/>
                    <w:numPr>
                      <w:ilvl w:val="4"/>
                      <w:numId w:val="9"/>
                    </w:numPr>
                    <w:suppressAutoHyphens w:val="false"/>
                    <w:spacing w:lineRule="auto" w:line="240" w:before="40" w:after="40"/>
                    <w:ind w:left="209" w:hanging="209"/>
                    <w:jc w:val="left"/>
                    <w:rPr>
                      <w:rFonts w:eastAsia="Calibri"/>
                      <w:sz w:val="18"/>
                      <w:szCs w:val="18"/>
                    </w:rPr>
                  </w:pPr>
                  <w:r>
                    <w:rPr>
                      <w:rFonts w:eastAsia="Calibri"/>
                      <w:sz w:val="18"/>
                      <w:szCs w:val="18"/>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pPr>
                    <w:pStyle w:val="-1"/>
                    <w:widowControl w:val="false"/>
                    <w:numPr>
                      <w:ilvl w:val="4"/>
                      <w:numId w:val="9"/>
                    </w:numPr>
                    <w:suppressAutoHyphens w:val="false"/>
                    <w:spacing w:lineRule="auto" w:line="240" w:before="40" w:after="40"/>
                    <w:ind w:left="209" w:hanging="209"/>
                    <w:jc w:val="left"/>
                    <w:rPr>
                      <w:sz w:val="18"/>
                      <w:szCs w:val="18"/>
                      <w:lang w:eastAsia="ru-RU"/>
                    </w:rPr>
                  </w:pPr>
                  <w:r>
                    <w:rPr>
                      <w:rFonts w:eastAsia="Calibri"/>
                      <w:sz w:val="18"/>
                      <w:szCs w:val="18"/>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trPr>
                <w:cantSplit w:val="true"/>
              </w:trPr>
              <w:tc>
                <w:tcPr>
                  <w:tcW w:w="884" w:type="dxa"/>
                  <w:tcBorders>
                    <w:top w:val="single" w:sz="4" w:space="0" w:color="000000"/>
                    <w:bottom w:val="single" w:sz="4" w:space="0" w:color="000000"/>
                    <w:right w:val="single" w:sz="4" w:space="0" w:color="000000"/>
                  </w:tcBorders>
                </w:tcPr>
                <w:p>
                  <w:pPr>
                    <w:pStyle w:val="32"/>
                    <w:widowControl w:val="false"/>
                    <w:numPr>
                      <w:ilvl w:val="7"/>
                      <w:numId w:val="9"/>
                    </w:numPr>
                    <w:suppressAutoHyphens w:val="false"/>
                    <w:spacing w:lineRule="auto" w:line="240" w:before="40" w:after="40"/>
                    <w:jc w:val="center"/>
                    <w:rPr>
                      <w:sz w:val="18"/>
                      <w:szCs w:val="18"/>
                      <w:lang w:eastAsia="ru-RU"/>
                    </w:rPr>
                  </w:pPr>
                  <w:r>
                    <w:rPr>
                      <w:sz w:val="18"/>
                      <w:szCs w:val="18"/>
                      <w:lang w:eastAsia="ru-RU"/>
                    </w:rPr>
                    <w:t>Б</w:t>
                  </w:r>
                  <w:r>
                    <w:rPr>
                      <w:sz w:val="18"/>
                      <w:szCs w:val="18"/>
                      <w:vertAlign w:val="subscript"/>
                      <w:lang w:val="en-US" w:eastAsia="ru-RU"/>
                    </w:rPr>
                    <w:t>3</w:t>
                  </w:r>
                  <w:r>
                    <w:rPr>
                      <w:sz w:val="18"/>
                      <w:szCs w:val="18"/>
                      <w:lang w:eastAsia="ru-RU"/>
                    </w:rPr>
                    <w:t xml:space="preserve"> = 3</w:t>
                  </w:r>
                </w:p>
              </w:tc>
              <w:tc>
                <w:tcPr>
                  <w:tcW w:w="5527" w:type="dxa"/>
                  <w:tcBorders>
                    <w:top w:val="single" w:sz="4" w:space="0" w:color="000000"/>
                    <w:left w:val="single" w:sz="4" w:space="0" w:color="000000"/>
                    <w:bottom w:val="single" w:sz="4" w:space="0" w:color="000000"/>
                  </w:tcBorders>
                </w:tcPr>
                <w:p>
                  <w:pPr>
                    <w:pStyle w:val="-1"/>
                    <w:widowControl w:val="false"/>
                    <w:numPr>
                      <w:ilvl w:val="0"/>
                      <w:numId w:val="0"/>
                    </w:numPr>
                    <w:spacing w:lineRule="auto" w:line="240" w:before="40" w:after="40"/>
                    <w:ind w:left="0" w:hanging="0"/>
                    <w:jc w:val="left"/>
                    <w:rPr>
                      <w:sz w:val="18"/>
                      <w:szCs w:val="18"/>
                      <w:lang w:eastAsia="ru-RU"/>
                    </w:rPr>
                  </w:pPr>
                  <w:r>
                    <w:rPr>
                      <w:rFonts w:eastAsia="Calibri"/>
                      <w:sz w:val="18"/>
                      <w:szCs w:val="18"/>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trPr>
                <w:cantSplit w:val="true"/>
              </w:trPr>
              <w:tc>
                <w:tcPr>
                  <w:tcW w:w="884" w:type="dxa"/>
                  <w:tcBorders>
                    <w:top w:val="single" w:sz="4" w:space="0" w:color="000000"/>
                    <w:bottom w:val="single" w:sz="4" w:space="0" w:color="000000"/>
                    <w:right w:val="single" w:sz="4" w:space="0" w:color="000000"/>
                  </w:tcBorders>
                </w:tcPr>
                <w:p>
                  <w:pPr>
                    <w:pStyle w:val="32"/>
                    <w:widowControl w:val="false"/>
                    <w:numPr>
                      <w:ilvl w:val="7"/>
                      <w:numId w:val="9"/>
                    </w:numPr>
                    <w:suppressAutoHyphens w:val="false"/>
                    <w:spacing w:lineRule="auto" w:line="240" w:before="40" w:after="40"/>
                    <w:jc w:val="center"/>
                    <w:rPr>
                      <w:sz w:val="18"/>
                      <w:szCs w:val="18"/>
                      <w:lang w:eastAsia="ru-RU"/>
                    </w:rPr>
                  </w:pPr>
                  <w:r>
                    <w:rPr>
                      <w:sz w:val="18"/>
                      <w:szCs w:val="18"/>
                      <w:lang w:eastAsia="ru-RU"/>
                    </w:rPr>
                    <w:t>Б</w:t>
                  </w:r>
                  <w:r>
                    <w:rPr>
                      <w:sz w:val="18"/>
                      <w:szCs w:val="18"/>
                      <w:vertAlign w:val="subscript"/>
                      <w:lang w:val="en-US" w:eastAsia="ru-RU"/>
                    </w:rPr>
                    <w:t>3</w:t>
                  </w:r>
                  <w:r>
                    <w:rPr>
                      <w:sz w:val="18"/>
                      <w:szCs w:val="18"/>
                      <w:lang w:eastAsia="ru-RU"/>
                    </w:rPr>
                    <w:t xml:space="preserve"> = 5</w:t>
                  </w:r>
                </w:p>
              </w:tc>
              <w:tc>
                <w:tcPr>
                  <w:tcW w:w="5527" w:type="dxa"/>
                  <w:tcBorders>
                    <w:top w:val="single" w:sz="4" w:space="0" w:color="000000"/>
                    <w:left w:val="single" w:sz="4" w:space="0" w:color="000000"/>
                    <w:bottom w:val="single" w:sz="4" w:space="0" w:color="000000"/>
                  </w:tcBorders>
                </w:tcPr>
                <w:p>
                  <w:pPr>
                    <w:pStyle w:val="-1"/>
                    <w:widowControl w:val="false"/>
                    <w:numPr>
                      <w:ilvl w:val="0"/>
                      <w:numId w:val="0"/>
                    </w:numPr>
                    <w:spacing w:lineRule="auto" w:line="240" w:before="40" w:after="40"/>
                    <w:ind w:left="0" w:hanging="0"/>
                    <w:jc w:val="left"/>
                    <w:rPr>
                      <w:sz w:val="18"/>
                      <w:szCs w:val="18"/>
                      <w:lang w:eastAsia="ru-RU"/>
                    </w:rPr>
                  </w:pPr>
                  <w:r>
                    <w:rPr>
                      <w:rFonts w:eastAsia="Calibri"/>
                      <w:sz w:val="18"/>
                      <w:szCs w:val="18"/>
                    </w:rPr>
                    <w:t>Результат оценки финансового состояния (устойчивости): более 0,90 балла – Удовлетворительное финансовое состояние.</w:t>
                  </w:r>
                </w:p>
              </w:tc>
            </w:tr>
          </w:tbl>
          <w:p>
            <w:pPr>
              <w:pStyle w:val="22"/>
              <w:widowControl w:val="false"/>
              <w:numPr>
                <w:ilvl w:val="6"/>
                <w:numId w:val="9"/>
              </w:numPr>
              <w:suppressAutoHyphens w:val="false"/>
              <w:spacing w:lineRule="auto" w:line="240" w:before="96" w:after="0"/>
              <w:ind w:left="0" w:hanging="1701"/>
              <w:jc w:val="left"/>
              <w:rPr>
                <w:sz w:val="18"/>
                <w:szCs w:val="18"/>
                <w:lang w:eastAsia="ru-RU"/>
              </w:rPr>
            </w:pPr>
            <w:r>
              <w:rPr>
                <w:rFonts w:cs="Times New Roman"/>
                <w:kern w:val="0"/>
                <w:sz w:val="18"/>
                <w:szCs w:val="18"/>
                <w:lang w:val="ru-RU" w:eastAsia="ru-RU" w:bidi="ar-SA"/>
              </w:rPr>
              <w:t>где:</w:t>
            </w:r>
          </w:p>
          <w:p>
            <w:pPr>
              <w:pStyle w:val="22"/>
              <w:widowControl w:val="false"/>
              <w:numPr>
                <w:ilvl w:val="6"/>
                <w:numId w:val="9"/>
              </w:numPr>
              <w:tabs>
                <w:tab w:val="clear" w:pos="708"/>
                <w:tab w:val="left" w:pos="742" w:leader="none"/>
                <w:tab w:val="left" w:pos="1167" w:leader="none"/>
              </w:tabs>
              <w:suppressAutoHyphens w:val="false"/>
              <w:spacing w:lineRule="auto" w:line="240" w:before="0" w:after="0"/>
              <w:ind w:left="349" w:hanging="349"/>
              <w:jc w:val="left"/>
              <w:rPr>
                <w:sz w:val="18"/>
                <w:szCs w:val="18"/>
                <w:lang w:eastAsia="ru-RU"/>
              </w:rPr>
            </w:pPr>
            <w:r>
              <w:rPr>
                <w:rFonts w:cs="Times New Roman"/>
                <w:kern w:val="0"/>
                <w:sz w:val="18"/>
                <w:szCs w:val="18"/>
                <w:lang w:val="ru-RU" w:eastAsia="ru-RU" w:bidi="ar-SA"/>
              </w:rPr>
              <w:t>Б</w:t>
            </w:r>
            <w:r>
              <w:rPr>
                <w:rFonts w:cs="Times New Roman"/>
                <w:kern w:val="0"/>
                <w:sz w:val="18"/>
                <w:szCs w:val="18"/>
                <w:vertAlign w:val="subscript"/>
                <w:lang w:val="ru-RU" w:eastAsia="ru-RU" w:bidi="ar-SA"/>
              </w:rPr>
              <w:t>3</w:t>
            </w:r>
            <w:r>
              <w:rPr>
                <w:rFonts w:cs="Times New Roman"/>
                <w:kern w:val="0"/>
                <w:sz w:val="18"/>
                <w:szCs w:val="18"/>
                <w:lang w:val="ru-RU" w:eastAsia="ru-RU" w:bidi="ar-SA"/>
              </w:rPr>
              <w:tab/>
              <w:t>–</w:t>
              <w:tab/>
              <w:t>рассчитанная оценка предпочтительности по данному частному критерию оценки в баллах.</w:t>
            </w:r>
          </w:p>
          <w:p>
            <w:pPr>
              <w:pStyle w:val="Style24"/>
              <w:widowControl w:val="false"/>
              <w:numPr>
                <w:ilvl w:val="0"/>
                <w:numId w:val="0"/>
              </w:numPr>
              <w:ind w:left="0" w:hanging="0"/>
              <w:rPr>
                <w:sz w:val="18"/>
                <w:szCs w:val="18"/>
              </w:rPr>
            </w:pPr>
            <w:bookmarkStart w:id="5" w:name="_Toc151555394_Копия_1_Копия_1"/>
            <w:r>
              <w:rPr>
                <w:rFonts w:cs="Times New Roman"/>
                <w:kern w:val="0"/>
                <w:sz w:val="18"/>
                <w:szCs w:val="18"/>
                <w:lang w:val="ru-RU" w:bidi="ar-SA"/>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5"/>
          </w:p>
          <w:p>
            <w:pPr>
              <w:pStyle w:val="32"/>
              <w:widowControl w:val="false"/>
              <w:numPr>
                <w:ilvl w:val="7"/>
                <w:numId w:val="9"/>
              </w:numPr>
              <w:suppressAutoHyphens w:val="false"/>
              <w:spacing w:lineRule="auto" w:line="240" w:before="40" w:after="40"/>
              <w:jc w:val="left"/>
              <w:rPr>
                <w:sz w:val="18"/>
                <w:szCs w:val="18"/>
                <w:lang w:eastAsia="ru-RU"/>
              </w:rPr>
            </w:pPr>
            <w:r>
              <w:rPr>
                <w:rFonts w:cs="Times New Roman"/>
                <w:kern w:val="0"/>
                <w:sz w:val="18"/>
                <w:szCs w:val="18"/>
                <w:lang w:val="ru-RU" w:bidi="ar-SA"/>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w:t>
            </w:r>
            <w:r>
              <w:rPr>
                <w:rFonts w:cs="Times New Roman"/>
                <w:kern w:val="0"/>
                <w:sz w:val="18"/>
                <w:szCs w:val="18"/>
                <w:lang w:val="ru-RU" w:eastAsia="ru-RU" w:bidi="ar-SA"/>
              </w:rPr>
              <w:t>11 Приложения №4)</w:t>
            </w:r>
            <w:r>
              <w:rPr>
                <w:rFonts w:cs="Times New Roman"/>
                <w:kern w:val="0"/>
                <w:sz w:val="18"/>
                <w:szCs w:val="18"/>
                <w:lang w:val="ru-RU" w:bidi="ar-SA"/>
              </w:rPr>
              <w:t>.</w:t>
            </w:r>
          </w:p>
          <w:p>
            <w:pPr>
              <w:pStyle w:val="Normal"/>
              <w:widowControl w:val="false"/>
              <w:suppressAutoHyphens w:val="true"/>
              <w:spacing w:lineRule="auto" w:line="252"/>
              <w:rPr>
                <w:rFonts w:eastAsia="Calibri"/>
                <w:sz w:val="18"/>
                <w:szCs w:val="18"/>
                <w:lang w:eastAsia="ru-RU"/>
              </w:rPr>
            </w:pPr>
            <w:r>
              <w:rPr>
                <w:rFonts w:cs="Times New Roman"/>
                <w:kern w:val="0"/>
                <w:sz w:val="18"/>
                <w:szCs w:val="18"/>
                <w:lang w:val="ru-RU" w:eastAsia="ru-RU" w:bidi="ar-SA"/>
              </w:rPr>
              <w:t>Шкала оценок от 0 до 5 баллов.</w:t>
            </w:r>
          </w:p>
        </w:tc>
      </w:tr>
      <w:tr>
        <w:trPr/>
        <w:tc>
          <w:tcPr>
            <w:tcW w:w="6487" w:type="dxa"/>
            <w:gridSpan w:val="5"/>
            <w:tcBorders>
              <w:top w:val="nil"/>
            </w:tcBorders>
          </w:tcPr>
          <w:p>
            <w:pPr>
              <w:pStyle w:val="Normal"/>
              <w:widowControl w:val="false"/>
              <w:suppressAutoHyphens w:val="true"/>
              <w:spacing w:lineRule="auto" w:line="252" w:before="120" w:after="0"/>
              <w:jc w:val="center"/>
              <w:rPr>
                <w:sz w:val="18"/>
                <w:szCs w:val="18"/>
                <w:lang w:eastAsia="ru-RU"/>
              </w:rPr>
            </w:pPr>
            <w:r>
              <w:rPr>
                <w:rFonts w:cs="Times New Roman"/>
                <w:kern w:val="0"/>
                <w:sz w:val="18"/>
                <w:szCs w:val="18"/>
                <w:lang w:val="ru-RU" w:eastAsia="ru-RU" w:bidi="ar-SA"/>
              </w:rPr>
              <w:t>Итоговая оценка предпочтительности заявки:</w:t>
            </w:r>
          </w:p>
        </w:tc>
        <w:tc>
          <w:tcPr>
            <w:tcW w:w="8526" w:type="dxa"/>
            <w:gridSpan w:val="2"/>
            <w:tcBorders>
              <w:top w:val="nil"/>
            </w:tcBorders>
          </w:tcPr>
          <w:p>
            <w:pPr>
              <w:pStyle w:val="Normal"/>
              <w:widowControl w:val="false"/>
              <w:suppressAutoHyphens w:val="true"/>
              <w:spacing w:before="40" w:after="0"/>
              <w:rPr>
                <w:sz w:val="18"/>
                <w:szCs w:val="18"/>
              </w:rPr>
            </w:pPr>
            <w:r>
              <w:rPr>
                <w:rFonts w:cs="Times New Roman"/>
                <w:kern w:val="0"/>
                <w:sz w:val="18"/>
                <w:szCs w:val="18"/>
                <w:lang w:val="ru-RU" w:bidi="ar-SA"/>
              </w:rPr>
              <w:t xml:space="preserve">Расчет итоговой оценки предпочтительности </w:t>
            </w:r>
            <w:r>
              <w:rPr>
                <w:rFonts w:cs="Times New Roman"/>
                <w:i/>
                <w:kern w:val="0"/>
                <w:sz w:val="18"/>
                <w:szCs w:val="18"/>
                <w:lang w:val="en-US" w:bidi="ar-SA"/>
              </w:rPr>
              <w:t>i</w:t>
            </w:r>
            <w:r>
              <w:rPr>
                <w:rFonts w:cs="Times New Roman"/>
                <w:kern w:val="0"/>
                <w:sz w:val="18"/>
                <w:szCs w:val="18"/>
                <w:lang w:val="ru-RU" w:bidi="ar-SA"/>
              </w:rPr>
              <w:t>-ой заявки:</w:t>
            </w:r>
          </w:p>
          <w:p>
            <w:pPr>
              <w:pStyle w:val="Normal"/>
              <w:keepNext w:val="true"/>
              <w:widowControl w:val="false"/>
              <w:suppressAutoHyphens w:val="true"/>
              <w:jc w:val="center"/>
              <w:rPr>
                <w:sz w:val="18"/>
                <w:szCs w:val="18"/>
              </w:rPr>
            </w:pPr>
            <w:r>
              <w:rPr>
                <w:rFonts w:cs="Times New Roman"/>
                <w:kern w:val="0"/>
                <w:sz w:val="18"/>
                <w:szCs w:val="18"/>
                <w:lang w:val="ru-RU" w:bidi="ar-SA"/>
              </w:rPr>
            </w:r>
          </w:p>
          <w:p>
            <w:pPr>
              <w:pStyle w:val="Normal"/>
              <w:keepNext w:val="true"/>
              <w:widowControl w:val="false"/>
              <w:suppressAutoHyphens w:val="true"/>
              <w:spacing w:before="96" w:after="0"/>
              <w:jc w:val="center"/>
              <w:rPr>
                <w:sz w:val="20"/>
                <w:szCs w:val="20"/>
              </w:rPr>
            </w:pPr>
            <w:r>
              <w:rPr>
                <w:rFonts w:cs="Times New Roman"/>
                <w:kern w:val="0"/>
                <w:lang w:val="ru-RU" w:bidi="ar-SA"/>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sSub>
                              <m:e>
                                <m:r>
                                  <w:rPr>
                                    <w:rFonts w:ascii="Cambria Math" w:hAnsi="Cambria Math"/>
                                  </w:rPr>
                                  <m:t xml:space="preserve">1</m:t>
                                </m:r>
                                <m:r>
                                  <w:rPr>
                                    <w:rFonts w:ascii="Cambria Math" w:hAnsi="Cambria Math"/>
                                  </w:rPr>
                                  <m:t xml:space="preserve">уровень</m:t>
                                </m:r>
                              </m:e>
                              <m:sub>
                                <m:r>
                                  <w:rPr>
                                    <w:rFonts w:ascii="Cambria Math" w:hAnsi="Cambria Math"/>
                                  </w:rPr>
                                  <m:t xml:space="preserve">k</m:t>
                                </m:r>
                              </m:sub>
                            </m:sSub>
                          </m:sub>
                        </m:sSub>
                        <m:r>
                          <w:rPr>
                            <w:rFonts w:ascii="Cambria Math" w:hAnsi="Cambria Math"/>
                          </w:rPr>
                          <m:t xml:space="preserve">×</m:t>
                        </m:r>
                        <m:sSub>
                          <m:e>
                            <m:r>
                              <w:rPr>
                                <w:rFonts w:ascii="Cambria Math" w:hAnsi="Cambria Math"/>
                              </w:rPr>
                              <m:t xml:space="preserve">В</m:t>
                            </m:r>
                          </m:e>
                          <m:sub>
                            <m:sSub>
                              <m:e>
                                <m:r>
                                  <w:rPr>
                                    <w:rFonts w:ascii="Cambria Math" w:hAnsi="Cambria Math"/>
                                  </w:rPr>
                                  <m:t xml:space="preserve">1</m:t>
                                </m:r>
                                <m:r>
                                  <w:rPr>
                                    <w:rFonts w:ascii="Cambria Math" w:hAnsi="Cambria Math"/>
                                  </w:rPr>
                                  <m:t xml:space="preserve">уровень</m:t>
                                </m:r>
                              </m:e>
                              <m:sub>
                                <m:r>
                                  <w:rPr>
                                    <w:rFonts w:ascii="Cambria Math" w:hAnsi="Cambria Math"/>
                                  </w:rPr>
                                  <m:t xml:space="preserve">k</m:t>
                                </m:r>
                              </m:sub>
                            </m:sSub>
                          </m:sub>
                        </m:sSub>
                      </m:e>
                    </m:d>
                  </m:e>
                </m:nary>
                <m:r>
                  <w:rPr>
                    <w:rFonts w:ascii="Cambria Math" w:hAnsi="Cambria Math"/>
                  </w:rPr>
                  <m:t xml:space="preserve">,</m:t>
                </m:r>
              </m:oMath>
            </m:oMathPara>
          </w:p>
          <w:p>
            <w:pPr>
              <w:pStyle w:val="Normal"/>
              <w:keepNext w:val="true"/>
              <w:widowControl w:val="false"/>
              <w:suppressAutoHyphens w:val="true"/>
              <w:spacing w:before="96" w:after="0"/>
              <w:rPr>
                <w:sz w:val="18"/>
                <w:szCs w:val="18"/>
              </w:rPr>
            </w:pPr>
            <w:r>
              <w:rPr>
                <w:rFonts w:cs="Times New Roman"/>
                <w:kern w:val="0"/>
                <w:sz w:val="18"/>
                <w:szCs w:val="18"/>
                <w:lang w:val="ru-RU" w:bidi="ar-SA"/>
              </w:rPr>
              <w:t>где:</w:t>
            </w:r>
          </w:p>
          <w:p>
            <w:pPr>
              <w:pStyle w:val="Normal"/>
              <w:widowControl w:val="false"/>
              <w:tabs>
                <w:tab w:val="clear" w:pos="708"/>
                <w:tab w:val="left" w:pos="742" w:leader="none"/>
                <w:tab w:val="left" w:pos="1167" w:leader="none"/>
              </w:tabs>
              <w:suppressAutoHyphens w:val="true"/>
              <w:rPr>
                <w:sz w:val="18"/>
                <w:szCs w:val="18"/>
              </w:rPr>
            </w:pPr>
            <w:r>
              <w:rPr>
                <w:rFonts w:cs="Times New Roman"/>
                <w:kern w:val="0"/>
                <w:sz w:val="18"/>
                <w:szCs w:val="18"/>
                <w:lang w:val="ru-RU" w:bidi="ar-SA"/>
              </w:rPr>
              <w:t>Б</w:t>
            </w:r>
            <w:r>
              <w:rPr>
                <w:rFonts w:cs="Times New Roman"/>
                <w:kern w:val="0"/>
                <w:sz w:val="18"/>
                <w:szCs w:val="18"/>
                <w:vertAlign w:val="subscript"/>
                <w:lang w:val="ru-RU" w:bidi="ar-SA"/>
              </w:rPr>
              <w:t>ИТОГ</w:t>
            </w:r>
            <w:r>
              <w:rPr>
                <w:rFonts w:cs="Times New Roman"/>
                <w:kern w:val="0"/>
                <w:sz w:val="18"/>
                <w:szCs w:val="18"/>
                <w:lang w:val="ru-RU" w:bidi="ar-SA"/>
              </w:rPr>
              <w:tab/>
              <w:t>–</w:t>
              <w:tab/>
              <w:t>рассчитанная итоговая оценка предпочтительности в баллах;</w:t>
            </w:r>
          </w:p>
          <w:p>
            <w:pPr>
              <w:pStyle w:val="Normal"/>
              <w:widowControl w:val="false"/>
              <w:tabs>
                <w:tab w:val="clear" w:pos="708"/>
                <w:tab w:val="left" w:pos="742" w:leader="none"/>
                <w:tab w:val="left" w:pos="1167" w:leader="none"/>
              </w:tabs>
              <w:suppressAutoHyphens w:val="true"/>
              <w:rPr>
                <w:sz w:val="18"/>
                <w:szCs w:val="18"/>
              </w:rPr>
            </w:pPr>
            <w:r>
              <w:rPr>
                <w:rFonts w:cs="Times New Roman"/>
                <w:kern w:val="0"/>
                <w:sz w:val="18"/>
                <w:szCs w:val="18"/>
                <w:lang w:val="ru-RU" w:bidi="ar-SA"/>
              </w:rPr>
              <w:t>Б</w:t>
            </w:r>
            <w:r>
              <w:rPr>
                <w:rFonts w:cs="Times New Roman"/>
                <w:kern w:val="0"/>
                <w:sz w:val="18"/>
                <w:szCs w:val="18"/>
                <w:vertAlign w:val="subscript"/>
                <w:lang w:val="ru-RU" w:bidi="ar-SA"/>
              </w:rPr>
              <w:t>1 уровень k</w:t>
            </w:r>
            <w:r>
              <w:rPr>
                <w:rFonts w:cs="Times New Roman"/>
                <w:kern w:val="0"/>
                <w:sz w:val="18"/>
                <w:szCs w:val="18"/>
                <w:lang w:val="ru-RU" w:bidi="ar-SA"/>
              </w:rPr>
              <w:tab/>
              <w:t>–</w:t>
              <w:tab/>
              <w:t>оценка предпочтительности по k-тому критерию оценки первого уровня в баллах;</w:t>
            </w:r>
          </w:p>
          <w:p>
            <w:pPr>
              <w:pStyle w:val="22"/>
              <w:widowControl w:val="false"/>
              <w:numPr>
                <w:ilvl w:val="6"/>
                <w:numId w:val="7"/>
              </w:numPr>
              <w:tabs>
                <w:tab w:val="clear" w:pos="708"/>
                <w:tab w:val="left" w:pos="742" w:leader="none"/>
                <w:tab w:val="left" w:pos="1167" w:leader="none"/>
              </w:tabs>
              <w:suppressAutoHyphens w:val="true"/>
              <w:spacing w:lineRule="auto" w:line="240" w:before="0" w:after="120"/>
              <w:ind w:left="0" w:hanging="1701"/>
              <w:jc w:val="left"/>
              <w:rPr>
                <w:sz w:val="18"/>
                <w:szCs w:val="18"/>
                <w:lang w:eastAsia="ru-RU"/>
              </w:rPr>
            </w:pPr>
            <w:r>
              <w:rPr>
                <w:rFonts w:cs="Times New Roman"/>
                <w:kern w:val="0"/>
                <w:sz w:val="18"/>
                <w:szCs w:val="18"/>
                <w:lang w:val="ru-RU" w:bidi="ar-SA"/>
              </w:rPr>
              <w:t>В</w:t>
            </w:r>
            <w:r>
              <w:rPr>
                <w:rFonts w:cs="Times New Roman"/>
                <w:kern w:val="0"/>
                <w:sz w:val="18"/>
                <w:szCs w:val="18"/>
                <w:vertAlign w:val="subscript"/>
                <w:lang w:val="ru-RU" w:bidi="ar-SA"/>
              </w:rPr>
              <w:t>1 уровень k</w:t>
            </w:r>
            <w:r>
              <w:rPr>
                <w:rFonts w:cs="Times New Roman"/>
                <w:kern w:val="0"/>
                <w:sz w:val="18"/>
                <w:szCs w:val="18"/>
                <w:lang w:val="ru-RU" w:bidi="ar-SA"/>
              </w:rPr>
              <w:tab/>
              <w:t>–</w:t>
              <w:tab/>
              <w:t>значимость k-ого критерия оценки первого уровня, выраженная в диапазоне от 1% до 100% (или от 0,01 до 1,00) – вес k-ого критерия оценки первого уровня.</w:t>
            </w:r>
          </w:p>
          <w:p>
            <w:pPr>
              <w:pStyle w:val="Normal"/>
              <w:widowControl w:val="false"/>
              <w:suppressAutoHyphens w:val="true"/>
              <w:rPr>
                <w:rFonts w:eastAsia="Calibri"/>
                <w:sz w:val="18"/>
                <w:szCs w:val="18"/>
              </w:rPr>
            </w:pPr>
            <w:r>
              <w:rPr>
                <w:rFonts w:cs="Times New Roman"/>
                <w:i/>
                <w:iCs/>
                <w:kern w:val="0"/>
                <w:sz w:val="18"/>
                <w:szCs w:val="18"/>
                <w:lang w:val="ru-RU" w:bidi="ar-SA"/>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Normal"/>
        <w:rPr/>
      </w:pPr>
      <w:r>
        <w:rPr/>
      </w:r>
      <w:bookmarkStart w:id="6" w:name="_GoBack"/>
      <w:bookmarkStart w:id="7" w:name="_GoBack"/>
      <w:bookmarkEnd w:id="7"/>
    </w:p>
    <w:sectPr>
      <w:type w:val="nextPage"/>
      <w:pgSz w:orient="landscape" w:w="16838" w:h="11906"/>
      <w:pgMar w:left="1134" w:right="1134" w:gutter="0" w:header="0" w:top="568" w:footer="0" w:bottom="85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ahoma">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Calibri">
    <w:charset w:val="01"/>
    <w:family w:val="roman"/>
    <w:pitch w:val="variable"/>
  </w:font>
  <w:font w:name="Calibri">
    <w:charset w:val="01"/>
    <w:family w:val="swiss"/>
    <w:pitch w:val="variable"/>
  </w:font>
  <w:font w:name="Courier New">
    <w:charset w:val="01"/>
    <w:family w:val="modern"/>
    <w:pitch w:val="fixed"/>
  </w:font>
  <w:font w:name="Wingdings">
    <w:charset w:val="02"/>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701"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4">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701"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5">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701"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6">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701"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7">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abstractNum w:abstractNumId="8">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9">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abstractNum w:abstractNumId="10">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701"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11">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701"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12">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701"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13">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701"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14">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701"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15">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701"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4"/>
  </w:num>
  <w:num w:numId="17">
    <w:abstractNumId w:val="4"/>
  </w:num>
  <w:num w:numId="18">
    <w:abstractNumId w:val="4"/>
  </w:num>
  <w:num w:numId="19">
    <w:abstractNumId w:val="4"/>
  </w:num>
  <w:num w:numId="20">
    <w:abstractNumId w:val="4"/>
  </w:num>
  <w:num w:numId="21">
    <w:abstractNumId w:val="4"/>
  </w:num>
</w:numbering>
</file>

<file path=word/settings.xml><?xml version="1.0" encoding="utf-8"?>
<w:settings xmlns:w="http://schemas.openxmlformats.org/wordprocessingml/2006/main">
  <w:zoom w:percent="161"/>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8"/>
        <w:szCs w:val="28"/>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6196c"/>
    <w:pPr>
      <w:widowControl/>
      <w:suppressAutoHyphens w:val="true"/>
      <w:bidi w:val="0"/>
      <w:spacing w:lineRule="exact" w:line="360" w:before="120" w:after="0"/>
      <w:jc w:val="both"/>
    </w:pPr>
    <w:rPr>
      <w:rFonts w:eastAsia="Calibri" w:eastAsiaTheme="minorHAnsi" w:ascii="Times New Roman" w:hAnsi="Times New Roman" w:cs="Times New Roman"/>
      <w:color w:val="auto"/>
      <w:kern w:val="0"/>
      <w:sz w:val="26"/>
      <w:szCs w:val="28"/>
      <w:lang w:eastAsia="en-US" w:val="ru-RU" w:bidi="ar-SA"/>
    </w:rPr>
  </w:style>
  <w:style w:type="paragraph" w:styleId="Heading1">
    <w:name w:val="Heading 1"/>
    <w:basedOn w:val="Normal"/>
    <w:next w:val="Normal"/>
    <w:link w:val="1"/>
    <w:qFormat/>
    <w:rsid w:val="00e85ec3"/>
    <w:pPr>
      <w:keepNext w:val="true"/>
      <w:outlineLvl w:val="0"/>
    </w:pPr>
    <w:rPr>
      <w:sz w:val="24"/>
    </w:rPr>
  </w:style>
  <w:style w:type="paragraph" w:styleId="Heading2">
    <w:name w:val="Heading 2"/>
    <w:basedOn w:val="Normal"/>
    <w:next w:val="Normal"/>
    <w:link w:val="2"/>
    <w:qFormat/>
    <w:rsid w:val="00e85ec3"/>
    <w:pPr>
      <w:keepNext w:val="true"/>
      <w:jc w:val="center"/>
      <w:outlineLvl w:val="1"/>
    </w:pPr>
    <w:rPr>
      <w:sz w:val="24"/>
    </w:rPr>
  </w:style>
  <w:style w:type="paragraph" w:styleId="Heading3">
    <w:name w:val="Heading 3"/>
    <w:basedOn w:val="Normal"/>
    <w:next w:val="Normal"/>
    <w:link w:val="3"/>
    <w:qFormat/>
    <w:rsid w:val="00e85ec3"/>
    <w:pPr>
      <w:keepNext w:val="true"/>
      <w:jc w:val="center"/>
      <w:outlineLvl w:val="2"/>
    </w:pPr>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e85ec3"/>
    <w:rPr>
      <w:sz w:val="24"/>
    </w:rPr>
  </w:style>
  <w:style w:type="character" w:styleId="2" w:customStyle="1">
    <w:name w:val="Заголовок 2 Знак"/>
    <w:basedOn w:val="DefaultParagraphFont"/>
    <w:qFormat/>
    <w:rsid w:val="00e85ec3"/>
    <w:rPr>
      <w:b/>
      <w:sz w:val="24"/>
    </w:rPr>
  </w:style>
  <w:style w:type="character" w:styleId="3" w:customStyle="1">
    <w:name w:val="Заголовок 3 Знак"/>
    <w:basedOn w:val="DefaultParagraphFont"/>
    <w:qFormat/>
    <w:rsid w:val="00e85ec3"/>
    <w:rPr>
      <w:b/>
      <w:sz w:val="28"/>
    </w:rPr>
  </w:style>
  <w:style w:type="character" w:styleId="Style6" w:customStyle="1">
    <w:name w:val="Подзаголовок Знак"/>
    <w:basedOn w:val="DefaultParagraphFont"/>
    <w:qFormat/>
    <w:rsid w:val="00e85ec3"/>
    <w:rPr>
      <w:sz w:val="24"/>
    </w:rPr>
  </w:style>
  <w:style w:type="character" w:styleId="Strong">
    <w:name w:val="Strong"/>
    <w:basedOn w:val="DefaultParagraphFont"/>
    <w:uiPriority w:val="22"/>
    <w:qFormat/>
    <w:rsid w:val="00e85ec3"/>
    <w:rPr>
      <w:b/>
      <w:bCs/>
    </w:rPr>
  </w:style>
  <w:style w:type="character" w:styleId="-" w:customStyle="1">
    <w:name w:val="УРОВЕНЬ_- Знак"/>
    <w:basedOn w:val="DefaultParagraphFont"/>
    <w:link w:val="-1"/>
    <w:qFormat/>
    <w:rsid w:val="00e9691f"/>
    <w:rPr>
      <w:rFonts w:eastAsia="Calibri" w:eastAsiaTheme="minorHAnsi"/>
      <w:sz w:val="26"/>
      <w:lang w:eastAsia="en-US"/>
    </w:rPr>
  </w:style>
  <w:style w:type="character" w:styleId="21" w:customStyle="1">
    <w:name w:val="УРОВЕНЬ_Абзац_тип2 Знак"/>
    <w:basedOn w:val="DefaultParagraphFont"/>
    <w:link w:val="22"/>
    <w:qFormat/>
    <w:rsid w:val="00e9691f"/>
    <w:rPr>
      <w:rFonts w:eastAsia="Calibri" w:eastAsiaTheme="minorHAnsi"/>
      <w:sz w:val="26"/>
      <w:lang w:eastAsia="en-US"/>
    </w:rPr>
  </w:style>
  <w:style w:type="character" w:styleId="31" w:customStyle="1">
    <w:name w:val="УРОВЕНЬ_Абзац_тип3 Знак"/>
    <w:basedOn w:val="DefaultParagraphFont"/>
    <w:link w:val="32"/>
    <w:qFormat/>
    <w:rsid w:val="00e9691f"/>
    <w:rPr>
      <w:rFonts w:eastAsia="Calibri" w:eastAsiaTheme="minorHAnsi"/>
      <w:sz w:val="26"/>
      <w:lang w:eastAsia="en-US"/>
    </w:rPr>
  </w:style>
  <w:style w:type="character" w:styleId="Style7" w:customStyle="1">
    <w:name w:val="УРОВЕНЬ_Подпись Знак"/>
    <w:basedOn w:val="DefaultParagraphFont"/>
    <w:link w:val="Style20"/>
    <w:qFormat/>
    <w:rsid w:val="00e9691f"/>
    <w:rPr>
      <w:rFonts w:eastAsia="Calibri" w:eastAsiaTheme="minorHAnsi"/>
      <w:sz w:val="26"/>
      <w:lang w:eastAsia="en-US"/>
    </w:rPr>
  </w:style>
  <w:style w:type="character" w:styleId="Style8" w:customStyle="1">
    <w:name w:val="Текст выноски Знак"/>
    <w:basedOn w:val="DefaultParagraphFont"/>
    <w:link w:val="BalloonText"/>
    <w:uiPriority w:val="99"/>
    <w:semiHidden/>
    <w:qFormat/>
    <w:rsid w:val="00e9691f"/>
    <w:rPr>
      <w:rFonts w:ascii="Tahoma" w:hAnsi="Tahoma" w:eastAsia="Calibri" w:cs="Tahoma" w:eastAsiaTheme="minorHAnsi"/>
      <w:sz w:val="16"/>
      <w:szCs w:val="16"/>
      <w:lang w:eastAsia="en-US"/>
    </w:rPr>
  </w:style>
  <w:style w:type="character" w:styleId="Style9" w:customStyle="1">
    <w:name w:val="Верхний колонтитул Знак"/>
    <w:basedOn w:val="DefaultParagraphFont"/>
    <w:uiPriority w:val="99"/>
    <w:qFormat/>
    <w:rsid w:val="00524279"/>
    <w:rPr>
      <w:rFonts w:eastAsia="Calibri" w:eastAsiaTheme="minorHAnsi"/>
      <w:sz w:val="26"/>
      <w:lang w:eastAsia="en-US"/>
    </w:rPr>
  </w:style>
  <w:style w:type="character" w:styleId="Style10" w:customStyle="1">
    <w:name w:val="Нижний колонтитул Знак"/>
    <w:basedOn w:val="DefaultParagraphFont"/>
    <w:uiPriority w:val="99"/>
    <w:qFormat/>
    <w:rsid w:val="00524279"/>
    <w:rPr>
      <w:rFonts w:eastAsia="Calibri" w:eastAsiaTheme="minorHAnsi"/>
      <w:sz w:val="26"/>
      <w:lang w:eastAsia="en-US"/>
    </w:rPr>
  </w:style>
  <w:style w:type="character" w:styleId="Annotationreference">
    <w:name w:val="annotation reference"/>
    <w:basedOn w:val="DefaultParagraphFont"/>
    <w:uiPriority w:val="99"/>
    <w:semiHidden/>
    <w:unhideWhenUsed/>
    <w:qFormat/>
    <w:rsid w:val="00b37e92"/>
    <w:rPr>
      <w:sz w:val="16"/>
      <w:szCs w:val="16"/>
    </w:rPr>
  </w:style>
  <w:style w:type="character" w:styleId="Style11" w:customStyle="1">
    <w:name w:val="Текст примечания Знак"/>
    <w:basedOn w:val="DefaultParagraphFont"/>
    <w:link w:val="Annotationtext"/>
    <w:uiPriority w:val="99"/>
    <w:semiHidden/>
    <w:qFormat/>
    <w:rsid w:val="00b37e92"/>
    <w:rPr>
      <w:rFonts w:eastAsia="Calibri" w:eastAsiaTheme="minorHAnsi"/>
      <w:sz w:val="20"/>
      <w:szCs w:val="20"/>
      <w:lang w:eastAsia="en-US"/>
    </w:rPr>
  </w:style>
  <w:style w:type="character" w:styleId="Style12" w:customStyle="1">
    <w:name w:val="Тема примечания Знак"/>
    <w:basedOn w:val="Style11"/>
    <w:link w:val="Annotationsubject"/>
    <w:uiPriority w:val="99"/>
    <w:semiHidden/>
    <w:qFormat/>
    <w:rsid w:val="00b37e92"/>
    <w:rPr>
      <w:rFonts w:eastAsia="Calibri" w:eastAsiaTheme="minorHAnsi"/>
      <w:b/>
      <w:bCs/>
      <w:sz w:val="20"/>
      <w:szCs w:val="20"/>
      <w:lang w:eastAsia="en-US"/>
    </w:rPr>
  </w:style>
  <w:style w:type="character" w:styleId="Style13" w:customStyle="1">
    <w:name w:val="Основной текст Знак"/>
    <w:basedOn w:val="DefaultParagraphFont"/>
    <w:semiHidden/>
    <w:qFormat/>
    <w:rsid w:val="00b37e92"/>
    <w:rPr>
      <w:sz w:val="24"/>
      <w:szCs w:val="24"/>
    </w:rPr>
  </w:style>
  <w:style w:type="character" w:styleId="Linenumber1" w:customStyle="1">
    <w:name w:val="line number1"/>
    <w:qFormat/>
    <w:rPr/>
  </w:style>
  <w:style w:type="character" w:styleId="Hyperlink">
    <w:name w:val="Hyperlink"/>
    <w:basedOn w:val="DefaultParagraphFont"/>
    <w:uiPriority w:val="99"/>
    <w:rPr>
      <w:rFonts w:cs="Times New Roman"/>
      <w:color w:val="0000FF" w:themeColor="hyperlink"/>
      <w:u w:val="single"/>
    </w:rPr>
  </w:style>
  <w:style w:type="character" w:styleId="Style14" w:customStyle="1">
    <w:name w:val="Символ сноски"/>
    <w:qFormat/>
    <w:rPr>
      <w:vertAlign w:val="superscript"/>
    </w:rPr>
  </w:style>
  <w:style w:type="character" w:styleId="FootnoteReference">
    <w:name w:val="Footnote Reference"/>
    <w:rPr>
      <w:vertAlign w:val="superscript"/>
    </w:rPr>
  </w:style>
  <w:style w:type="character" w:styleId="Style15" w:customStyle="1">
    <w:name w:val="Символ концевой сноски"/>
    <w:qFormat/>
    <w:rPr>
      <w:vertAlign w:val="superscript"/>
    </w:rPr>
  </w:style>
  <w:style w:type="character" w:styleId="EndnoteReference">
    <w:name w:val="Endnote Reference"/>
    <w:rPr>
      <w:vertAlign w:val="superscript"/>
    </w:rPr>
  </w:style>
  <w:style w:type="character" w:styleId="Linenumber2" w:customStyle="1">
    <w:name w:val="line number2"/>
    <w:qFormat/>
    <w:rPr/>
  </w:style>
  <w:style w:type="character" w:styleId="Linenumber">
    <w:name w:val="line number"/>
    <w:qFormat/>
    <w:rPr/>
  </w:style>
  <w:style w:type="character" w:styleId="Style16" w:customStyle="1">
    <w:name w:val="Текст сноски Знак"/>
    <w:basedOn w:val="DefaultParagraphFont"/>
    <w:uiPriority w:val="99"/>
    <w:qFormat/>
    <w:rsid w:val="002957d1"/>
    <w:rPr>
      <w:rFonts w:eastAsia="Calibri" w:eastAsiaTheme="minorHAnsi"/>
      <w:sz w:val="20"/>
      <w:szCs w:val="20"/>
      <w:lang w:eastAsia="en-US"/>
    </w:rPr>
  </w:style>
  <w:style w:type="paragraph" w:styleId="Style17">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13"/>
    <w:semiHidden/>
    <w:unhideWhenUsed/>
    <w:rsid w:val="00b37e92"/>
    <w:pPr>
      <w:spacing w:lineRule="auto" w:line="240" w:before="0" w:after="120"/>
      <w:jc w:val="left"/>
    </w:pPr>
    <w:rPr>
      <w:rFonts w:eastAsia="Times New Roman"/>
      <w:sz w:val="24"/>
      <w:szCs w:val="24"/>
      <w:lang w:eastAsia="ru-RU"/>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18">
    <w:name w:val="Указатель"/>
    <w:basedOn w:val="Normal"/>
    <w:qFormat/>
    <w:pPr>
      <w:suppressLineNumbers/>
    </w:pPr>
    <w:rPr>
      <w:rFonts w:cs="Arial Unicode MS"/>
    </w:rPr>
  </w:style>
  <w:style w:type="paragraph" w:styleId="Title">
    <w:name w:val="Title"/>
    <w:basedOn w:val="Normal"/>
    <w:next w:val="BodyText"/>
    <w:qFormat/>
    <w:pPr>
      <w:keepNext w:val="true"/>
      <w:spacing w:before="240" w:after="120"/>
    </w:pPr>
    <w:rPr>
      <w:rFonts w:ascii="Liberation Sans" w:hAnsi="Liberation Sans" w:eastAsia="Arial Unicode MS" w:cs="Arial Unicode MS"/>
      <w:sz w:val="28"/>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Caption11" w:customStyle="1">
    <w:name w:val="caption11"/>
    <w:basedOn w:val="Normal"/>
    <w:qFormat/>
    <w:pPr>
      <w:suppressLineNumbers/>
      <w:spacing w:before="120" w:after="120"/>
    </w:pPr>
    <w:rPr>
      <w:rFonts w:cs="Arial Unicode MS"/>
      <w:i/>
      <w:iCs/>
      <w:sz w:val="24"/>
      <w:szCs w:val="24"/>
    </w:rPr>
  </w:style>
  <w:style w:type="paragraph" w:styleId="Caption111" w:customStyle="1">
    <w:name w:val="caption111"/>
    <w:basedOn w:val="Normal"/>
    <w:qFormat/>
    <w:pPr>
      <w:suppressLineNumbers/>
      <w:spacing w:before="120" w:after="120"/>
    </w:pPr>
    <w:rPr>
      <w:i/>
      <w:iCs/>
      <w:sz w:val="24"/>
      <w:szCs w:val="24"/>
    </w:rPr>
  </w:style>
  <w:style w:type="paragraph" w:styleId="Caption1111" w:customStyle="1">
    <w:name w:val="caption1111"/>
    <w:basedOn w:val="Normal"/>
    <w:qFormat/>
    <w:pPr>
      <w:suppressLineNumbers/>
      <w:spacing w:before="120" w:after="120"/>
    </w:pPr>
    <w:rPr>
      <w:i/>
      <w:iCs/>
      <w:sz w:val="24"/>
      <w:szCs w:val="24"/>
    </w:rPr>
  </w:style>
  <w:style w:type="paragraph" w:styleId="Caption11111" w:customStyle="1">
    <w:name w:val="caption11111"/>
    <w:basedOn w:val="Normal"/>
    <w:qFormat/>
    <w:pPr>
      <w:suppressLineNumbers/>
      <w:spacing w:before="120" w:after="120"/>
    </w:pPr>
    <w:rPr>
      <w:i/>
      <w:iCs/>
      <w:sz w:val="24"/>
      <w:szCs w:val="24"/>
    </w:rPr>
  </w:style>
  <w:style w:type="paragraph" w:styleId="Caption111111" w:customStyle="1">
    <w:name w:val="caption111111"/>
    <w:basedOn w:val="Normal"/>
    <w:next w:val="Normal"/>
    <w:uiPriority w:val="35"/>
    <w:unhideWhenUsed/>
    <w:qFormat/>
    <w:rsid w:val="00e85ec3"/>
    <w:pPr/>
    <w:rPr/>
  </w:style>
  <w:style w:type="paragraph" w:styleId="Subtitle">
    <w:name w:val="Subtitle"/>
    <w:basedOn w:val="Normal"/>
    <w:link w:val="Style6"/>
    <w:qFormat/>
    <w:rsid w:val="00e85ec3"/>
    <w:pPr>
      <w:jc w:val="center"/>
    </w:pPr>
    <w:rPr>
      <w:sz w:val="24"/>
    </w:rPr>
  </w:style>
  <w:style w:type="paragraph" w:styleId="NoSpacing">
    <w:name w:val="No Spacing"/>
    <w:uiPriority w:val="1"/>
    <w:qFormat/>
    <w:rsid w:val="00e85ec3"/>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ListParagraph">
    <w:name w:val="List Paragraph"/>
    <w:basedOn w:val="Normal"/>
    <w:uiPriority w:val="34"/>
    <w:qFormat/>
    <w:rsid w:val="00e85ec3"/>
    <w:pPr>
      <w:spacing w:lineRule="exact" w:line="300" w:before="120" w:after="0"/>
      <w:ind w:left="720" w:hanging="1701"/>
      <w:contextualSpacing/>
    </w:pPr>
    <w:rPr>
      <w:rFonts w:ascii="Calibri" w:hAnsi="Calibri" w:eastAsia="Calibri"/>
      <w:sz w:val="22"/>
      <w:szCs w:val="22"/>
    </w:rPr>
  </w:style>
  <w:style w:type="paragraph" w:styleId="Style19" w:customStyle="1">
    <w:name w:val="УРОВЕНЬ_(а)"/>
    <w:basedOn w:val="ListParagraph"/>
    <w:qFormat/>
    <w:rsid w:val="00e9691f"/>
    <w:pPr>
      <w:numPr>
        <w:ilvl w:val="3"/>
        <w:numId w:val="3"/>
      </w:numPr>
      <w:spacing w:lineRule="exact" w:line="360" w:before="120" w:after="0"/>
      <w:contextualSpacing w:val="false"/>
      <w:outlineLvl w:val="3"/>
    </w:pPr>
    <w:rPr>
      <w:rFonts w:ascii="Times New Roman" w:hAnsi="Times New Roman" w:eastAsia="Calibri" w:eastAsiaTheme="minorHAnsi"/>
      <w:sz w:val="26"/>
      <w:szCs w:val="28"/>
    </w:rPr>
  </w:style>
  <w:style w:type="paragraph" w:styleId="-1" w:customStyle="1">
    <w:name w:val="УРОВЕНЬ_-"/>
    <w:basedOn w:val="ListParagraph"/>
    <w:link w:val="-"/>
    <w:qFormat/>
    <w:rsid w:val="00e9691f"/>
    <w:pPr>
      <w:numPr>
        <w:ilvl w:val="4"/>
        <w:numId w:val="3"/>
      </w:numPr>
      <w:spacing w:lineRule="exact" w:line="360" w:before="120" w:after="0"/>
      <w:contextualSpacing w:val="false"/>
      <w:outlineLvl w:val="4"/>
    </w:pPr>
    <w:rPr>
      <w:rFonts w:ascii="Times New Roman" w:hAnsi="Times New Roman" w:eastAsia="Calibri" w:eastAsiaTheme="minorHAnsi"/>
      <w:sz w:val="26"/>
      <w:szCs w:val="28"/>
    </w:rPr>
  </w:style>
  <w:style w:type="paragraph" w:styleId="22" w:customStyle="1">
    <w:name w:val="УРОВЕНЬ_Абзац_тип2"/>
    <w:basedOn w:val="ListParagraph"/>
    <w:link w:val="21"/>
    <w:qFormat/>
    <w:rsid w:val="00e9691f"/>
    <w:pPr>
      <w:numPr>
        <w:ilvl w:val="6"/>
        <w:numId w:val="3"/>
      </w:numPr>
      <w:spacing w:lineRule="exact" w:line="360" w:before="120" w:after="0"/>
      <w:contextualSpacing w:val="false"/>
    </w:pPr>
    <w:rPr>
      <w:rFonts w:ascii="Times New Roman" w:hAnsi="Times New Roman" w:eastAsia="Calibri" w:eastAsiaTheme="minorHAnsi"/>
      <w:sz w:val="26"/>
      <w:szCs w:val="28"/>
    </w:rPr>
  </w:style>
  <w:style w:type="paragraph" w:styleId="32" w:customStyle="1">
    <w:name w:val="УРОВЕНЬ_Абзац_тип3"/>
    <w:basedOn w:val="ListParagraph"/>
    <w:link w:val="31"/>
    <w:qFormat/>
    <w:rsid w:val="00e9691f"/>
    <w:pPr>
      <w:numPr>
        <w:ilvl w:val="7"/>
        <w:numId w:val="3"/>
      </w:numPr>
      <w:spacing w:lineRule="exact" w:line="360" w:before="120" w:after="0"/>
      <w:contextualSpacing w:val="false"/>
    </w:pPr>
    <w:rPr>
      <w:rFonts w:ascii="Times New Roman" w:hAnsi="Times New Roman" w:eastAsia="Calibri" w:eastAsiaTheme="minorHAnsi"/>
      <w:sz w:val="26"/>
      <w:szCs w:val="28"/>
    </w:rPr>
  </w:style>
  <w:style w:type="paragraph" w:styleId="Style20" w:customStyle="1">
    <w:name w:val="УРОВЕНЬ_Подпись"/>
    <w:basedOn w:val="ListParagraph"/>
    <w:link w:val="Style7"/>
    <w:qFormat/>
    <w:rsid w:val="00e9691f"/>
    <w:pPr>
      <w:keepNext w:val="true"/>
      <w:numPr>
        <w:ilvl w:val="5"/>
        <w:numId w:val="3"/>
      </w:numPr>
      <w:spacing w:lineRule="exact" w:line="360" w:before="120" w:after="120"/>
      <w:contextualSpacing w:val="false"/>
      <w:jc w:val="right"/>
      <w:outlineLvl w:val="3"/>
    </w:pPr>
    <w:rPr>
      <w:rFonts w:ascii="Times New Roman" w:hAnsi="Times New Roman" w:eastAsia="Calibri" w:eastAsiaTheme="minorHAnsi"/>
      <w:sz w:val="26"/>
      <w:szCs w:val="28"/>
    </w:rPr>
  </w:style>
  <w:style w:type="paragraph" w:styleId="BalloonText">
    <w:name w:val="Balloon Text"/>
    <w:basedOn w:val="Normal"/>
    <w:link w:val="Style8"/>
    <w:uiPriority w:val="99"/>
    <w:semiHidden/>
    <w:unhideWhenUsed/>
    <w:qFormat/>
    <w:rsid w:val="00e9691f"/>
    <w:pPr>
      <w:spacing w:lineRule="auto" w:line="240" w:before="0" w:after="0"/>
    </w:pPr>
    <w:rPr>
      <w:rFonts w:ascii="Tahoma" w:hAnsi="Tahoma" w:cs="Tahoma"/>
      <w:sz w:val="16"/>
      <w:szCs w:val="16"/>
    </w:rPr>
  </w:style>
  <w:style w:type="paragraph" w:styleId="Style21" w:customStyle="1">
    <w:name w:val="Колонтитул"/>
    <w:basedOn w:val="Normal"/>
    <w:qFormat/>
    <w:pPr/>
    <w:rPr/>
  </w:style>
  <w:style w:type="paragraph" w:styleId="Header">
    <w:name w:val="Header"/>
    <w:basedOn w:val="Normal"/>
    <w:link w:val="Style9"/>
    <w:uiPriority w:val="99"/>
    <w:unhideWhenUsed/>
    <w:rsid w:val="00524279"/>
    <w:pPr>
      <w:tabs>
        <w:tab w:val="clear" w:pos="708"/>
        <w:tab w:val="center" w:pos="4677" w:leader="none"/>
        <w:tab w:val="right" w:pos="9355" w:leader="none"/>
      </w:tabs>
      <w:spacing w:lineRule="auto" w:line="240" w:before="0" w:after="0"/>
    </w:pPr>
    <w:rPr/>
  </w:style>
  <w:style w:type="paragraph" w:styleId="Footer">
    <w:name w:val="Footer"/>
    <w:basedOn w:val="Normal"/>
    <w:link w:val="Style10"/>
    <w:uiPriority w:val="99"/>
    <w:unhideWhenUsed/>
    <w:rsid w:val="00524279"/>
    <w:pPr>
      <w:tabs>
        <w:tab w:val="clear" w:pos="708"/>
        <w:tab w:val="center" w:pos="4677" w:leader="none"/>
        <w:tab w:val="right" w:pos="9355" w:leader="none"/>
      </w:tabs>
      <w:spacing w:lineRule="auto" w:line="240" w:before="0" w:after="0"/>
    </w:pPr>
    <w:rPr/>
  </w:style>
  <w:style w:type="paragraph" w:styleId="Annotationtext">
    <w:name w:val="annotation text"/>
    <w:basedOn w:val="Normal"/>
    <w:link w:val="Style11"/>
    <w:uiPriority w:val="99"/>
    <w:semiHidden/>
    <w:unhideWhenUsed/>
    <w:qFormat/>
    <w:rsid w:val="00b37e92"/>
    <w:pPr>
      <w:spacing w:lineRule="auto" w:line="240"/>
    </w:pPr>
    <w:rPr>
      <w:sz w:val="20"/>
      <w:szCs w:val="20"/>
    </w:rPr>
  </w:style>
  <w:style w:type="paragraph" w:styleId="Annotationsubject">
    <w:name w:val="annotation subject"/>
    <w:basedOn w:val="Annotationtext"/>
    <w:next w:val="Annotationtext"/>
    <w:link w:val="Style12"/>
    <w:uiPriority w:val="99"/>
    <w:semiHidden/>
    <w:unhideWhenUsed/>
    <w:qFormat/>
    <w:rsid w:val="00b37e92"/>
    <w:pPr/>
    <w:rPr>
      <w:b/>
      <w:bCs/>
    </w:rPr>
  </w:style>
  <w:style w:type="paragraph" w:styleId="Revision">
    <w:name w:val="Revision"/>
    <w:uiPriority w:val="99"/>
    <w:semiHidden/>
    <w:qFormat/>
    <w:rsid w:val="00b37e92"/>
    <w:pPr>
      <w:widowControl/>
      <w:suppressAutoHyphens w:val="true"/>
      <w:bidi w:val="0"/>
      <w:spacing w:before="0" w:after="0"/>
      <w:jc w:val="left"/>
    </w:pPr>
    <w:rPr>
      <w:rFonts w:eastAsia="Calibri" w:eastAsiaTheme="minorHAnsi" w:ascii="Times New Roman" w:hAnsi="Times New Roman" w:cs="Times New Roman"/>
      <w:color w:val="auto"/>
      <w:kern w:val="0"/>
      <w:sz w:val="26"/>
      <w:szCs w:val="28"/>
      <w:lang w:eastAsia="en-US" w:val="ru-RU" w:bidi="ar-SA"/>
    </w:rPr>
  </w:style>
  <w:style w:type="paragraph" w:styleId="Style22" w:customStyle="1">
    <w:name w:val="Содержимое таблицы"/>
    <w:basedOn w:val="Normal"/>
    <w:qFormat/>
    <w:pPr>
      <w:widowControl w:val="false"/>
      <w:suppressLineNumbers/>
    </w:pPr>
    <w:rPr/>
  </w:style>
  <w:style w:type="paragraph" w:styleId="Style23" w:customStyle="1">
    <w:name w:val="Заголовок таблицы"/>
    <w:basedOn w:val="Style22"/>
    <w:qFormat/>
    <w:pPr>
      <w:jc w:val="center"/>
    </w:pPr>
    <w:rPr>
      <w:b/>
      <w:bCs/>
    </w:rPr>
  </w:style>
  <w:style w:type="paragraph" w:styleId="FootnoteText">
    <w:name w:val="Footnote Text"/>
    <w:basedOn w:val="Normal"/>
    <w:link w:val="Style16"/>
    <w:uiPriority w:val="99"/>
    <w:pPr>
      <w:suppressLineNumbers/>
      <w:ind w:left="340" w:hanging="340"/>
    </w:pPr>
    <w:rPr>
      <w:sz w:val="20"/>
      <w:szCs w:val="20"/>
    </w:rPr>
  </w:style>
  <w:style w:type="paragraph" w:styleId="Style24" w:customStyle="1">
    <w:name w:val="[РусГидро] Пункт"/>
    <w:basedOn w:val="ListParagraph"/>
    <w:qFormat/>
    <w:pPr>
      <w:numPr>
        <w:ilvl w:val="2"/>
        <w:numId w:val="2"/>
      </w:numPr>
      <w:tabs>
        <w:tab w:val="clear" w:pos="708"/>
        <w:tab w:val="left" w:pos="360" w:leader="none"/>
      </w:tabs>
      <w:suppressAutoHyphens w:val="false"/>
      <w:spacing w:before="120" w:after="0"/>
      <w:ind w:left="720" w:hanging="1701"/>
      <w:contextualSpacing w:val="false"/>
      <w:outlineLvl w:val="2"/>
    </w:pPr>
    <w:rPr>
      <w:rFonts w:eastAsia="Calibri" w:eastAsiaTheme="minorHAnsi"/>
      <w:szCs w:val="26"/>
    </w:rPr>
  </w:style>
  <w:style w:type="paragraph" w:styleId="Style25" w:customStyle="1">
    <w:name w:val="[РусГидро] Раздел"/>
    <w:basedOn w:val="ListParagraph"/>
    <w:next w:val="Style26"/>
    <w:qFormat/>
    <w:rsid w:val="002957d1"/>
    <w:pPr>
      <w:keepNext w:val="true"/>
      <w:keepLines/>
      <w:pageBreakBefore/>
      <w:tabs>
        <w:tab w:val="clear" w:pos="708"/>
        <w:tab w:val="left" w:pos="0" w:leader="none"/>
        <w:tab w:val="left" w:pos="360" w:leader="none"/>
      </w:tabs>
      <w:suppressAutoHyphens w:val="false"/>
      <w:spacing w:lineRule="auto" w:line="240" w:before="0" w:after="0"/>
      <w:ind w:left="720" w:hanging="0"/>
      <w:contextualSpacing w:val="false"/>
      <w:outlineLvl w:val="0"/>
    </w:pPr>
    <w:rPr>
      <w:rFonts w:ascii="Times New Roman" w:hAnsi="Times New Roman" w:eastAsia="Calibri" w:eastAsiaTheme="minorHAnsi"/>
      <w:b/>
      <w:bCs/>
      <w:caps/>
      <w:sz w:val="26"/>
      <w:szCs w:val="26"/>
    </w:rPr>
  </w:style>
  <w:style w:type="paragraph" w:styleId="Style26" w:customStyle="1">
    <w:name w:val="[РусГидро] Глава"/>
    <w:basedOn w:val="ListParagraph"/>
    <w:next w:val="Style24"/>
    <w:qFormat/>
    <w:rsid w:val="002957d1"/>
    <w:pPr>
      <w:keepNext w:val="true"/>
      <w:keepLines/>
      <w:tabs>
        <w:tab w:val="clear" w:pos="708"/>
        <w:tab w:val="left" w:pos="0" w:leader="none"/>
        <w:tab w:val="left" w:pos="360" w:leader="none"/>
      </w:tabs>
      <w:suppressAutoHyphens w:val="false"/>
      <w:spacing w:lineRule="auto" w:line="240" w:before="360" w:after="240"/>
      <w:ind w:left="720" w:hanging="0"/>
      <w:contextualSpacing w:val="false"/>
      <w:outlineLvl w:val="1"/>
    </w:pPr>
    <w:rPr>
      <w:rFonts w:ascii="Times New Roman" w:hAnsi="Times New Roman" w:eastAsia="Calibri" w:eastAsiaTheme="minorHAnsi"/>
      <w:b/>
      <w:bCs/>
      <w:caps/>
      <w:sz w:val="26"/>
      <w:szCs w:val="26"/>
    </w:rPr>
  </w:style>
  <w:style w:type="paragraph" w:styleId="Style27" w:customStyle="1">
    <w:name w:val="[РусГидро] Подпункт"/>
    <w:basedOn w:val="ListParagraph"/>
    <w:qFormat/>
    <w:rsid w:val="002957d1"/>
    <w:pPr>
      <w:tabs>
        <w:tab w:val="clear" w:pos="708"/>
        <w:tab w:val="left" w:pos="0" w:leader="none"/>
        <w:tab w:val="left" w:pos="360" w:leader="none"/>
      </w:tabs>
      <w:suppressAutoHyphens w:val="false"/>
      <w:spacing w:lineRule="auto" w:line="240" w:before="120" w:after="0"/>
      <w:ind w:left="720" w:hanging="0"/>
      <w:contextualSpacing w:val="false"/>
      <w:outlineLvl w:val="3"/>
    </w:pPr>
    <w:rPr>
      <w:rFonts w:ascii="Times New Roman" w:hAnsi="Times New Roman" w:eastAsia="Calibri" w:eastAsiaTheme="minorHAnsi"/>
      <w:sz w:val="26"/>
      <w:szCs w:val="26"/>
    </w:rPr>
  </w:style>
  <w:style w:type="paragraph" w:styleId="Style28" w:customStyle="1">
    <w:name w:val="[РусГидро] Перечисление"/>
    <w:basedOn w:val="ListParagraph"/>
    <w:qFormat/>
    <w:rsid w:val="002957d1"/>
    <w:pPr>
      <w:tabs>
        <w:tab w:val="clear" w:pos="708"/>
        <w:tab w:val="left" w:pos="0" w:leader="none"/>
        <w:tab w:val="left" w:pos="360" w:leader="none"/>
      </w:tabs>
      <w:suppressAutoHyphens w:val="false"/>
      <w:spacing w:lineRule="auto" w:line="240" w:before="120" w:after="0"/>
      <w:ind w:left="720" w:hanging="0"/>
      <w:contextualSpacing w:val="false"/>
      <w:outlineLvl w:val="4"/>
    </w:pPr>
    <w:rPr>
      <w:rFonts w:ascii="Times New Roman" w:hAnsi="Times New Roman" w:eastAsia="Calibri" w:eastAsiaTheme="minorHAnsi"/>
      <w:sz w:val="26"/>
      <w:szCs w:val="26"/>
    </w:rPr>
  </w:style>
  <w:style w:type="paragraph" w:styleId="Style29" w:customStyle="1">
    <w:name w:val="[РусГидро] Буллиты"/>
    <w:basedOn w:val="ListParagraph"/>
    <w:qFormat/>
    <w:rsid w:val="002957d1"/>
    <w:pPr>
      <w:tabs>
        <w:tab w:val="clear" w:pos="708"/>
        <w:tab w:val="left" w:pos="0" w:leader="none"/>
        <w:tab w:val="left" w:pos="360" w:leader="none"/>
      </w:tabs>
      <w:suppressAutoHyphens w:val="false"/>
      <w:spacing w:lineRule="auto" w:line="240" w:before="120" w:after="0"/>
      <w:ind w:left="720" w:hanging="0"/>
      <w:contextualSpacing w:val="false"/>
      <w:outlineLvl w:val="5"/>
    </w:pPr>
    <w:rPr>
      <w:rFonts w:ascii="Times New Roman" w:hAnsi="Times New Roman" w:eastAsia="Calibri" w:eastAsiaTheme="minorHAnsi"/>
      <w:sz w:val="26"/>
      <w:szCs w:val="26"/>
    </w:rPr>
  </w:style>
  <w:style w:type="paragraph" w:styleId="Style30" w:customStyle="1">
    <w:name w:val="[РусГидро] Текст"/>
    <w:basedOn w:val="ListParagraph"/>
    <w:qFormat/>
    <w:rsid w:val="002957d1"/>
    <w:pPr>
      <w:tabs>
        <w:tab w:val="clear" w:pos="708"/>
        <w:tab w:val="left" w:pos="0" w:leader="none"/>
        <w:tab w:val="left" w:pos="360" w:leader="none"/>
        <w:tab w:val="left" w:pos="1701" w:leader="none"/>
      </w:tabs>
      <w:suppressAutoHyphens w:val="false"/>
      <w:spacing w:lineRule="auto" w:line="240" w:before="120" w:after="0"/>
      <w:ind w:left="720" w:hanging="0"/>
      <w:contextualSpacing w:val="false"/>
      <w:outlineLvl w:val="6"/>
    </w:pPr>
    <w:rPr>
      <w:rFonts w:ascii="Times New Roman" w:hAnsi="Times New Roman" w:eastAsia="Calibri" w:eastAsiaTheme="minorHAnsi"/>
      <w:sz w:val="26"/>
      <w:szCs w:val="26"/>
    </w:rPr>
  </w:style>
  <w:style w:type="paragraph" w:styleId="Style31" w:customStyle="1">
    <w:name w:val="Содержимое врезки"/>
    <w:basedOn w:val="Normal"/>
    <w:qFormat/>
    <w:pPr/>
    <w:rPr/>
  </w:style>
  <w:style w:type="numbering" w:styleId="NoList" w:default="1">
    <w:name w:val="No List"/>
    <w:uiPriority w:val="99"/>
    <w:semiHidden/>
    <w:unhideWhenUsed/>
    <w:qFormat/>
  </w:style>
  <w:style w:type="table" w:default="1" w:styleId="a4">
    <w:name w:val="Normal Table"/>
    <w:uiPriority w:val="99"/>
    <w:semiHidden/>
    <w:unhideWhenUsed/>
    <w:tblPr>
      <w:tblCellMar>
        <w:top w:w="0" w:type="dxa"/>
        <w:left w:w="108" w:type="dxa"/>
        <w:bottom w:w="0" w:type="dxa"/>
        <w:right w:w="108" w:type="dxa"/>
      </w:tblCellMar>
    </w:tblPr>
  </w:style>
  <w:style w:type="table" w:styleId="afff0">
    <w:name w:val="Table Grid"/>
    <w:basedOn w:val="a4"/>
    <w:uiPriority w:val="59"/>
    <w:rsid w:val="00e9691f"/>
    <w:pPr>
      <w:spacing w:line="360" w:lineRule="exact"/>
      <w:jc w:val="both"/>
    </w:pPr>
    <w:rPr>
      <w:rFonts w:eastAsiaTheme="minorHAnsi"/>
      <w:lang w:eastAsia="en-US"/>
      <w:sz w:val="26"/>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1.png"/><Relationship Id="rId4" Type="http://schemas.openxmlformats.org/officeDocument/2006/relationships/hyperlink" Target="https://bo.nalog.ru/"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FCA0B-0798-4539-BC66-5B0319835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Application>AlterOffice/3.4.0.9$Linux_X86_64 LibreOffice_project/b8daf9e823b1a5463a2f48435ddc2e8696e7d4fc</Application>
  <AppVersion>15.0000</AppVersion>
  <Pages>6</Pages>
  <Words>1617</Words>
  <Characters>10682</Characters>
  <CharactersWithSpaces>11819</CharactersWithSpaces>
  <Paragraphs>135</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2026-05-22T11:36:00Z</dcterms:created>
  <dc:creator>VoroninaUV</dc:creator>
  <dc:description/>
  <dc:language>ru-RU</dc:language>
  <cp:lastModifiedBy/>
  <cp:lastPrinted>2021-12-28T10:32:00Z</cp:lastPrinted>
  <dcterms:modified xsi:type="dcterms:W3CDTF">2026-05-27T18:06:40Z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